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94424E" w:rsidP="00D44968">
            <w:pPr>
              <w:suppressLineNumbers/>
              <w:jc w:val="both"/>
              <w:rPr>
                <w:rFonts w:ascii="Arial" w:hAnsi="Arial"/>
                <w:b/>
                <w:bCs/>
                <w:sz w:val="26"/>
                <w:szCs w:val="26"/>
                <w:rtl/>
              </w:rPr>
            </w:pPr>
            <w:r w:rsidRPr="00DD05A8">
              <w:rPr>
                <w:rFonts w:ascii="Arial" w:hAnsi="Arial" w:hint="cs"/>
                <w:b/>
                <w:bCs/>
                <w:sz w:val="26"/>
                <w:szCs w:val="26"/>
                <w:rtl/>
              </w:rPr>
              <w:t>ב</w:t>
            </w:r>
            <w:r w:rsidRPr="00DD05A8">
              <w:rPr>
                <w:rFonts w:ascii="Arial" w:hAnsi="Arial"/>
                <w:b/>
                <w:bCs/>
                <w:sz w:val="26"/>
                <w:szCs w:val="26"/>
                <w:rtl/>
              </w:rPr>
              <w:t xml:space="preserve">פני </w:t>
            </w:r>
          </w:p>
        </w:tc>
        <w:tc>
          <w:tcPr>
            <w:tcW w:w="8077"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סארי ג'יוסי</w:t>
                </w:r>
              </w:sdtContent>
            </w:sdt>
          </w:p>
          <w:p w:rsidR="0094424E" w:rsidRPr="00DD05A8" w:rsidRDefault="0094424E" w:rsidP="00D44968">
            <w:pPr>
              <w:suppressLineNumbers/>
              <w:rPr>
                <w:rFonts w:ascii="Arial" w:hAnsi="Arial" w:cs="FrankRuehl"/>
                <w:sz w:val="26"/>
                <w:szCs w:val="26"/>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6F2308" w:rsidRDefault="00655C7A">
                <w:pPr>
                  <w:suppressLineNumbers/>
                  <w:rPr>
                    <w:rFonts w:ascii="Arial" w:hAnsi="Arial"/>
                    <w:b/>
                    <w:bCs/>
                    <w:noProof w:val="0"/>
                    <w:sz w:val="26"/>
                    <w:szCs w:val="26"/>
                    <w:rtl/>
                  </w:rPr>
                </w:pPr>
                <w:r>
                  <w:rPr>
                    <w:rFonts w:ascii="Arial" w:hAnsi="Arial" w:hint="cs"/>
                    <w:b/>
                    <w:bCs/>
                    <w:noProof w:val="0"/>
                    <w:sz w:val="26"/>
                    <w:szCs w:val="26"/>
                    <w:rtl/>
                  </w:rPr>
                  <w:t>ה</w:t>
                </w:r>
                <w:r>
                  <w:rPr>
                    <w:rFonts w:ascii="Arial" w:hAnsi="Arial"/>
                    <w:b/>
                    <w:bCs/>
                    <w:noProof w:val="0"/>
                    <w:sz w:val="26"/>
                    <w:szCs w:val="26"/>
                    <w:rtl/>
                  </w:rPr>
                  <w:t>מבקש</w:t>
                </w:r>
                <w:r>
                  <w:rPr>
                    <w:rFonts w:ascii="Arial" w:hAnsi="Arial" w:hint="cs"/>
                    <w:b/>
                    <w:bCs/>
                    <w:noProof w:val="0"/>
                    <w:sz w:val="26"/>
                    <w:szCs w:val="26"/>
                    <w:rtl/>
                  </w:rPr>
                  <w:t>ת</w:t>
                </w:r>
              </w:p>
            </w:sdtContent>
          </w:sdt>
        </w:tc>
        <w:tc>
          <w:tcPr>
            <w:tcW w:w="5571" w:type="dxa"/>
          </w:tcPr>
          <w:p w:rsidR="0094424E" w:rsidRPr="00302C8E" w:rsidRDefault="0094424E" w:rsidP="00D44968">
            <w:pPr>
              <w:suppressLineNumbers/>
              <w:rPr>
                <w:rFonts w:ascii="Arial" w:hAnsi="Arial"/>
                <w:b/>
                <w:bCs/>
                <w:noProof w:val="0"/>
                <w:rtl/>
              </w:rPr>
            </w:pPr>
          </w:p>
          <w:p w:rsidR="00B12A14" w:rsidRPr="00302C8E" w:rsidRDefault="007C2453" w:rsidP="007C2453">
            <w:pPr>
              <w:suppressLineNumbers/>
              <w:rPr>
                <w:rFonts w:ascii="Arial" w:hAnsi="Arial"/>
                <w:b/>
                <w:bCs/>
                <w:noProof w:val="0"/>
                <w:rtl/>
              </w:rPr>
            </w:pPr>
            <w:r w:rsidRPr="00302C8E">
              <w:rPr>
                <w:rFonts w:ascii="Arial" w:hAnsi="Arial" w:hint="cs"/>
                <w:b/>
                <w:bCs/>
                <w:noProof w:val="0"/>
                <w:rtl/>
              </w:rPr>
              <w:t xml:space="preserve"> </w:t>
            </w:r>
            <w:sdt>
              <w:sdtPr>
                <w:rPr>
                  <w:rFonts w:ascii="Arial" w:hAnsi="Arial" w:hint="cs"/>
                  <w:b/>
                  <w:bCs/>
                  <w:noProof w:val="0"/>
                  <w:rtl/>
                </w:rPr>
                <w:alias w:val="3151"/>
                <w:tag w:val="3151"/>
                <w:id w:val="1398553265"/>
                <w:placeholder>
                  <w:docPart w:val="7D8E46D2581B4CD9ACC623ACA7D52F75"/>
                </w:placeholder>
                <w:text w:multiLine="1"/>
              </w:sdtPr>
              <w:sdtEndPr/>
              <w:sdtContent>
                <w:r w:rsidR="00624CB9">
                  <w:rPr>
                    <w:rFonts w:ascii="Arial" w:hAnsi="Arial" w:hint="eastAsia"/>
                    <w:b/>
                    <w:bCs/>
                    <w:noProof w:val="0"/>
                    <w:rtl/>
                  </w:rPr>
                  <w:t>א</w:t>
                </w:r>
                <w:r w:rsidR="00624CB9">
                  <w:rPr>
                    <w:rFonts w:ascii="Arial" w:hAnsi="Arial" w:hint="cs"/>
                    <w:b/>
                    <w:bCs/>
                    <w:noProof w:val="0"/>
                    <w:rtl/>
                  </w:rPr>
                  <w:t>' ב'</w:t>
                </w:r>
              </w:sdtContent>
            </w:sdt>
            <w:r w:rsidR="00B859C5" w:rsidRPr="00302C8E">
              <w:rPr>
                <w:rFonts w:hint="cs"/>
                <w:rtl/>
              </w:rPr>
              <w:t xml:space="preserve"> </w:t>
            </w:r>
          </w:p>
          <w:p w:rsidR="0094424E" w:rsidRPr="00302C8E" w:rsidRDefault="00B859C5" w:rsidP="007C2453">
            <w:pPr>
              <w:suppressLineNumbers/>
              <w:rPr>
                <w:b/>
                <w:bCs/>
                <w:noProof w:val="0"/>
              </w:rPr>
            </w:pPr>
            <w:r w:rsidRPr="00302C8E">
              <w:rPr>
                <w:rFonts w:ascii="Arial" w:hAnsi="Arial"/>
                <w:b/>
                <w:bCs/>
                <w:noProof w:val="0"/>
                <w:rtl/>
              </w:rPr>
              <w:t>ע"י ב"כ עוה"ד</w:t>
            </w:r>
            <w:r w:rsidR="00B12A14" w:rsidRPr="00302C8E">
              <w:rPr>
                <w:rFonts w:hint="cs"/>
                <w:b/>
                <w:bCs/>
                <w:noProof w:val="0"/>
                <w:rtl/>
              </w:rPr>
              <w:t xml:space="preserve"> </w:t>
            </w:r>
            <w:r w:rsidR="00302C8E" w:rsidRPr="00302C8E">
              <w:rPr>
                <w:rFonts w:hint="cs"/>
                <w:b/>
                <w:bCs/>
                <w:noProof w:val="0"/>
                <w:rtl/>
              </w:rPr>
              <w:t>י. מייזלס</w:t>
            </w:r>
          </w:p>
        </w:tc>
      </w:tr>
      <w:tr w:rsidR="0094424E">
        <w:trPr>
          <w:jc w:val="center"/>
        </w:trPr>
        <w:tc>
          <w:tcPr>
            <w:tcW w:w="8820" w:type="dxa"/>
            <w:gridSpan w:val="3"/>
          </w:tcPr>
          <w:p w:rsidR="0094424E" w:rsidRPr="00302C8E" w:rsidRDefault="0094424E" w:rsidP="00D44968">
            <w:pPr>
              <w:suppressLineNumbers/>
              <w:rPr>
                <w:rFonts w:ascii="Arial" w:hAnsi="Arial"/>
                <w:b/>
                <w:bCs/>
                <w:noProof w:val="0"/>
                <w:rtl/>
              </w:rPr>
            </w:pPr>
          </w:p>
          <w:p w:rsidR="0094424E" w:rsidRPr="00302C8E" w:rsidRDefault="0094424E" w:rsidP="00D44968">
            <w:pPr>
              <w:suppressLineNumbers/>
              <w:jc w:val="center"/>
              <w:rPr>
                <w:rFonts w:ascii="Arial" w:hAnsi="Arial"/>
                <w:b/>
                <w:bCs/>
                <w:noProof w:val="0"/>
                <w:rtl/>
              </w:rPr>
            </w:pPr>
            <w:r w:rsidRPr="00302C8E">
              <w:rPr>
                <w:rFonts w:ascii="Arial" w:hAnsi="Arial"/>
                <w:b/>
                <w:bCs/>
                <w:noProof w:val="0"/>
                <w:rtl/>
              </w:rPr>
              <w:t>נגד</w:t>
            </w:r>
          </w:p>
          <w:p w:rsidR="0094424E" w:rsidRPr="00302C8E" w:rsidRDefault="0094424E" w:rsidP="00D44968">
            <w:pPr>
              <w:suppressLineNumbers/>
              <w:rPr>
                <w:rFonts w:ascii="Arial" w:hAnsi="Arial"/>
                <w:b/>
                <w:bCs/>
                <w:noProof w:val="0"/>
              </w:rPr>
            </w:pPr>
          </w:p>
        </w:tc>
      </w:tr>
      <w:tr w:rsidR="0094424E" w:rsidTr="009E461A">
        <w:trPr>
          <w:jc w:val="center"/>
        </w:trPr>
        <w:tc>
          <w:tcPr>
            <w:tcW w:w="3249" w:type="dxa"/>
            <w:gridSpan w:val="2"/>
          </w:tcPr>
          <w:p w:rsidR="0094424E" w:rsidRDefault="00562E2E" w:rsidP="009E461A">
            <w:pPr>
              <w:suppressLineNumbers/>
              <w:rPr>
                <w:rFonts w:ascii="Arial" w:hAnsi="Arial"/>
                <w:b/>
                <w:bCs/>
                <w:noProof w:val="0"/>
                <w:sz w:val="26"/>
                <w:szCs w:val="26"/>
              </w:rPr>
            </w:pPr>
            <w:sdt>
              <w:sdtPr>
                <w:rPr>
                  <w:rtl/>
                </w:rPr>
                <w:alias w:val="1184"/>
                <w:tag w:val="1184"/>
                <w:id w:val="-340621022"/>
                <w:text w:multiLine="1"/>
              </w:sdtPr>
              <w:sdtEndPr/>
              <w:sdtContent>
                <w:r w:rsidR="00655C7A">
                  <w:rPr>
                    <w:rFonts w:ascii="Arial" w:hAnsi="Arial" w:hint="cs"/>
                    <w:b/>
                    <w:bCs/>
                    <w:noProof w:val="0"/>
                    <w:sz w:val="26"/>
                    <w:szCs w:val="26"/>
                    <w:rtl/>
                  </w:rPr>
                  <w:t>המ</w:t>
                </w:r>
                <w:r w:rsidR="00655C7A">
                  <w:rPr>
                    <w:rFonts w:ascii="Arial" w:hAnsi="Arial"/>
                    <w:b/>
                    <w:bCs/>
                    <w:noProof w:val="0"/>
                    <w:sz w:val="26"/>
                    <w:szCs w:val="26"/>
                    <w:rtl/>
                  </w:rPr>
                  <w:t>שי</w:t>
                </w:r>
                <w:r w:rsidR="00655C7A">
                  <w:rPr>
                    <w:rFonts w:ascii="Arial" w:hAnsi="Arial" w:hint="cs"/>
                    <w:b/>
                    <w:bCs/>
                    <w:noProof w:val="0"/>
                    <w:sz w:val="26"/>
                    <w:szCs w:val="26"/>
                    <w:rtl/>
                  </w:rPr>
                  <w:t>ב</w:t>
                </w:r>
              </w:sdtContent>
            </w:sdt>
          </w:p>
        </w:tc>
        <w:tc>
          <w:tcPr>
            <w:tcW w:w="5571" w:type="dxa"/>
          </w:tcPr>
          <w:p w:rsidR="00B12A14" w:rsidRPr="00302C8E" w:rsidRDefault="00624CB9" w:rsidP="00624CB9">
            <w:pPr>
              <w:suppressLineNumbers/>
              <w:rPr>
                <w:rtl/>
              </w:rPr>
            </w:pPr>
            <w:r>
              <w:rPr>
                <w:rFonts w:ascii="Arial" w:hAnsi="Arial" w:hint="cs"/>
                <w:b/>
                <w:bCs/>
                <w:noProof w:val="0"/>
                <w:rtl/>
              </w:rPr>
              <w:t>ג' ב'</w:t>
            </w:r>
          </w:p>
          <w:p w:rsidR="00CF6BB7" w:rsidRPr="00302C8E" w:rsidRDefault="00B859C5" w:rsidP="007C2453">
            <w:pPr>
              <w:suppressLineNumbers/>
              <w:rPr>
                <w:rtl/>
              </w:rPr>
            </w:pPr>
            <w:r w:rsidRPr="00302C8E">
              <w:rPr>
                <w:rFonts w:ascii="Arial" w:hAnsi="Arial"/>
                <w:b/>
                <w:bCs/>
                <w:noProof w:val="0"/>
                <w:rtl/>
              </w:rPr>
              <w:t>ע"י ב"כ עוה"ד</w:t>
            </w:r>
            <w:r w:rsidR="00302C8E" w:rsidRPr="00302C8E">
              <w:rPr>
                <w:rFonts w:hint="cs"/>
                <w:b/>
                <w:bCs/>
                <w:rtl/>
              </w:rPr>
              <w:t xml:space="preserve"> א. האס-ארד</w:t>
            </w:r>
          </w:p>
          <w:p w:rsidR="00B12A14" w:rsidRPr="00302C8E" w:rsidRDefault="00B12A14" w:rsidP="007C2453">
            <w:pPr>
              <w:suppressLineNumbers/>
              <w:rPr>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3E38C7">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082782" w:rsidRDefault="00082782" w:rsidP="00082782">
      <w:pPr>
        <w:spacing w:before="240" w:line="360" w:lineRule="auto"/>
        <w:jc w:val="both"/>
        <w:rPr>
          <w:rFonts w:ascii="David" w:hAnsi="David"/>
          <w:rtl/>
        </w:rPr>
      </w:pPr>
      <w:bookmarkStart w:id="1" w:name="NGCSBookmark"/>
      <w:bookmarkEnd w:id="1"/>
      <w:r>
        <w:rPr>
          <w:rFonts w:ascii="David" w:hAnsi="David"/>
          <w:rtl/>
        </w:rPr>
        <w:t xml:space="preserve">בקשת רשות ערעור על החלטת בית המשפט לענייני משפחה בחדרה (כב' השופטת הדס גולדקורן,  בתמ"ש 40792-02-21), מיום 18.1.23 במסגרתה נדחתה בקשת המבקשת לפסיקת מזונות </w:t>
      </w:r>
      <w:r w:rsidR="00655C7A">
        <w:rPr>
          <w:rFonts w:ascii="David" w:hAnsi="David"/>
          <w:rtl/>
        </w:rPr>
        <w:t>זמניים תחת המזונות הטרום זמניים</w:t>
      </w:r>
      <w:r w:rsidR="00655C7A">
        <w:rPr>
          <w:rFonts w:ascii="David" w:hAnsi="David" w:hint="cs"/>
          <w:rtl/>
        </w:rPr>
        <w:t xml:space="preserve"> שנפסקו ביום </w:t>
      </w:r>
      <w:r w:rsidR="005C32B3">
        <w:rPr>
          <w:rFonts w:ascii="David" w:hAnsi="David" w:hint="cs"/>
          <w:rtl/>
        </w:rPr>
        <w:t>03.09.2021.</w:t>
      </w:r>
    </w:p>
    <w:p w:rsidR="00082782" w:rsidRDefault="00B12A14" w:rsidP="00082782">
      <w:pPr>
        <w:spacing w:before="240" w:line="360" w:lineRule="auto"/>
        <w:jc w:val="both"/>
        <w:rPr>
          <w:rFonts w:ascii="David" w:hAnsi="David"/>
          <w:b/>
          <w:bCs/>
          <w:u w:val="single"/>
          <w:rtl/>
        </w:rPr>
      </w:pPr>
      <w:r>
        <w:rPr>
          <w:rFonts w:ascii="David" w:hAnsi="David"/>
          <w:b/>
          <w:bCs/>
          <w:u w:val="single"/>
          <w:rtl/>
        </w:rPr>
        <w:t xml:space="preserve">העובדות </w:t>
      </w:r>
      <w:r>
        <w:rPr>
          <w:rFonts w:ascii="David" w:hAnsi="David" w:hint="cs"/>
          <w:b/>
          <w:bCs/>
          <w:u w:val="single"/>
          <w:rtl/>
        </w:rPr>
        <w:t>הצריכות לענייננו</w:t>
      </w:r>
      <w:r w:rsidR="00082782">
        <w:rPr>
          <w:rFonts w:ascii="David" w:hAnsi="David"/>
          <w:b/>
          <w:bCs/>
          <w:u w:val="single"/>
          <w:rtl/>
        </w:rPr>
        <w:t>:</w:t>
      </w:r>
    </w:p>
    <w:p w:rsidR="00082782" w:rsidRDefault="005C32B3" w:rsidP="00AE422A">
      <w:pPr>
        <w:pStyle w:val="ad"/>
        <w:numPr>
          <w:ilvl w:val="0"/>
          <w:numId w:val="1"/>
        </w:numPr>
        <w:spacing w:before="240" w:line="360" w:lineRule="auto"/>
        <w:jc w:val="both"/>
        <w:rPr>
          <w:rFonts w:ascii="David" w:hAnsi="David" w:cs="David"/>
          <w:sz w:val="24"/>
          <w:szCs w:val="24"/>
        </w:rPr>
      </w:pPr>
      <w:r>
        <w:rPr>
          <w:rFonts w:ascii="David" w:hAnsi="David" w:cs="David"/>
          <w:sz w:val="24"/>
          <w:szCs w:val="24"/>
          <w:rtl/>
        </w:rPr>
        <w:t>ב</w:t>
      </w:r>
      <w:r>
        <w:rPr>
          <w:rFonts w:ascii="David" w:hAnsi="David" w:cs="David" w:hint="cs"/>
          <w:sz w:val="24"/>
          <w:szCs w:val="24"/>
          <w:rtl/>
        </w:rPr>
        <w:t>עקבות</w:t>
      </w:r>
      <w:r w:rsidR="00082782">
        <w:rPr>
          <w:rFonts w:ascii="David" w:hAnsi="David" w:cs="David"/>
          <w:sz w:val="24"/>
          <w:szCs w:val="24"/>
          <w:rtl/>
        </w:rPr>
        <w:t xml:space="preserve"> משבר בנישואי הצדדים, </w:t>
      </w:r>
      <w:r w:rsidR="00BC440E">
        <w:rPr>
          <w:rFonts w:ascii="David" w:hAnsi="David" w:cs="David" w:hint="cs"/>
          <w:sz w:val="24"/>
          <w:szCs w:val="24"/>
          <w:rtl/>
        </w:rPr>
        <w:t xml:space="preserve">פתח המשיב </w:t>
      </w:r>
      <w:r w:rsidR="00082782">
        <w:rPr>
          <w:rFonts w:ascii="David" w:hAnsi="David" w:cs="David"/>
          <w:sz w:val="24"/>
          <w:szCs w:val="24"/>
          <w:rtl/>
        </w:rPr>
        <w:t>בחודש אוגוסט 2020 בהליכים משפטיים כנגד המבקשת בבית הדין הרבני בנתניה. הליך ההידברות בין השניים כשל, והמשיב הגיש לביה"ד הרבני תביעת גירושין, אליה כרך את תביעת הרכוש, מזונות האישה ומשמורת הילדים.</w:t>
      </w:r>
    </w:p>
    <w:p w:rsidR="00BC440E" w:rsidRDefault="00BC440E" w:rsidP="00BC440E">
      <w:pPr>
        <w:pStyle w:val="ad"/>
        <w:spacing w:before="240" w:line="360" w:lineRule="auto"/>
        <w:jc w:val="both"/>
        <w:rPr>
          <w:rFonts w:ascii="David" w:hAnsi="David" w:cs="David"/>
          <w:sz w:val="24"/>
          <w:szCs w:val="24"/>
          <w:rtl/>
        </w:rPr>
      </w:pPr>
    </w:p>
    <w:p w:rsidR="00082782" w:rsidRDefault="00082782" w:rsidP="000969D5">
      <w:pPr>
        <w:pStyle w:val="ad"/>
        <w:numPr>
          <w:ilvl w:val="0"/>
          <w:numId w:val="1"/>
        </w:numPr>
        <w:spacing w:before="240" w:line="360" w:lineRule="auto"/>
        <w:jc w:val="both"/>
        <w:rPr>
          <w:rFonts w:ascii="David" w:hAnsi="David" w:cs="David"/>
          <w:sz w:val="24"/>
          <w:szCs w:val="24"/>
        </w:rPr>
      </w:pPr>
      <w:r>
        <w:rPr>
          <w:rFonts w:ascii="David" w:hAnsi="David" w:cs="David"/>
          <w:sz w:val="24"/>
          <w:szCs w:val="24"/>
          <w:rtl/>
        </w:rPr>
        <w:t xml:space="preserve">ביום </w:t>
      </w:r>
      <w:r w:rsidR="002D0F74">
        <w:rPr>
          <w:rFonts w:ascii="David" w:hAnsi="David" w:cs="David" w:hint="cs"/>
          <w:sz w:val="24"/>
          <w:szCs w:val="24"/>
          <w:rtl/>
        </w:rPr>
        <w:t>18.02.2021 הגישה המבקשת בבית משפט קמא תביעה ל</w:t>
      </w:r>
      <w:r w:rsidR="00624CB9">
        <w:rPr>
          <w:rFonts w:ascii="David" w:hAnsi="David" w:cs="David" w:hint="cs"/>
          <w:sz w:val="24"/>
          <w:szCs w:val="24"/>
          <w:rtl/>
        </w:rPr>
        <w:t>מזונות שלושת ילדיהם: ל' ---- ילידת 2002, ח' ילידת 2006 וד'</w:t>
      </w:r>
      <w:r w:rsidR="000969D5">
        <w:rPr>
          <w:rFonts w:ascii="David" w:hAnsi="David" w:cs="David" w:hint="cs"/>
          <w:sz w:val="24"/>
          <w:szCs w:val="24"/>
          <w:rtl/>
        </w:rPr>
        <w:t xml:space="preserve"> יליד 2008. ביום </w:t>
      </w:r>
      <w:r w:rsidR="000969D5">
        <w:rPr>
          <w:rFonts w:ascii="David" w:hAnsi="David" w:cs="David"/>
          <w:sz w:val="24"/>
          <w:szCs w:val="24"/>
          <w:rtl/>
        </w:rPr>
        <w:t>28.6.2</w:t>
      </w:r>
      <w:r w:rsidR="001A7F0C">
        <w:rPr>
          <w:rFonts w:ascii="David" w:hAnsi="David" w:cs="David" w:hint="cs"/>
          <w:sz w:val="24"/>
          <w:szCs w:val="24"/>
          <w:rtl/>
        </w:rPr>
        <w:t>021</w:t>
      </w:r>
      <w:r w:rsidR="0016120F">
        <w:rPr>
          <w:rFonts w:ascii="David" w:hAnsi="David" w:cs="David" w:hint="cs"/>
          <w:sz w:val="24"/>
          <w:szCs w:val="24"/>
          <w:rtl/>
        </w:rPr>
        <w:t xml:space="preserve"> </w:t>
      </w:r>
      <w:r>
        <w:rPr>
          <w:rFonts w:ascii="David" w:hAnsi="David" w:cs="David"/>
          <w:sz w:val="24"/>
          <w:szCs w:val="24"/>
          <w:rtl/>
        </w:rPr>
        <w:t>הגישה המבקשת בקשה למזונות זמניים עבור ילדיה. במסגרת הבקשה טענה כי בשל פערי ההשתכרות בין הצדדים, מבוקש</w:t>
      </w:r>
      <w:r w:rsidR="005C32B3">
        <w:rPr>
          <w:rFonts w:ascii="David" w:hAnsi="David" w:cs="David"/>
          <w:sz w:val="24"/>
          <w:szCs w:val="24"/>
          <w:rtl/>
        </w:rPr>
        <w:t xml:space="preserve"> לחייב את המשיב לשלם לידי</w:t>
      </w:r>
      <w:r w:rsidR="005C32B3">
        <w:rPr>
          <w:rFonts w:ascii="David" w:hAnsi="David" w:cs="David" w:hint="cs"/>
          <w:sz w:val="24"/>
          <w:szCs w:val="24"/>
          <w:rtl/>
        </w:rPr>
        <w:t>ה</w:t>
      </w:r>
      <w:r>
        <w:rPr>
          <w:rFonts w:ascii="David" w:hAnsi="David" w:cs="David"/>
          <w:sz w:val="24"/>
          <w:szCs w:val="24"/>
          <w:rtl/>
        </w:rPr>
        <w:t xml:space="preserve"> סך של 7,840 ₪ לחודש בגין מזונות הקטינים בהתאם לצרכיהם. בנוסף טענה כי בשל פערי ההשתכרות בין הצדדים, מבוקש לחייב את האב לשאת ב75% מהוצאות החינוך של הילדים ו75% מהוצאות רפואיות. בנוסף, ביקשה לחייב את האב להשתתף בהוצאות המדור העומדות על סך של 3,790 ₪ לחודש. </w:t>
      </w:r>
    </w:p>
    <w:p w:rsidR="00BC440E" w:rsidRDefault="00BC440E" w:rsidP="00BC440E">
      <w:pPr>
        <w:pStyle w:val="ad"/>
        <w:spacing w:before="240" w:line="360" w:lineRule="auto"/>
        <w:jc w:val="both"/>
        <w:rPr>
          <w:rFonts w:ascii="David" w:hAnsi="David" w:cs="David"/>
          <w:sz w:val="24"/>
          <w:szCs w:val="24"/>
          <w:rtl/>
        </w:rPr>
      </w:pPr>
    </w:p>
    <w:p w:rsidR="00BC440E" w:rsidRDefault="00082782" w:rsidP="00BC440E">
      <w:pPr>
        <w:pStyle w:val="ad"/>
        <w:numPr>
          <w:ilvl w:val="0"/>
          <w:numId w:val="1"/>
        </w:numPr>
        <w:spacing w:before="240" w:line="360" w:lineRule="auto"/>
        <w:jc w:val="both"/>
        <w:rPr>
          <w:rFonts w:ascii="David" w:hAnsi="David" w:cs="David"/>
          <w:sz w:val="24"/>
          <w:szCs w:val="24"/>
        </w:rPr>
      </w:pPr>
      <w:r>
        <w:rPr>
          <w:rFonts w:ascii="David" w:hAnsi="David" w:cs="David"/>
          <w:sz w:val="24"/>
          <w:szCs w:val="24"/>
          <w:rtl/>
        </w:rPr>
        <w:t xml:space="preserve">בכתב תגובתו לבקשה למזונות זמניים מיום 11.07.21, טען </w:t>
      </w:r>
      <w:r w:rsidR="001A7F0C">
        <w:rPr>
          <w:rFonts w:ascii="David" w:hAnsi="David" w:cs="David" w:hint="cs"/>
          <w:sz w:val="24"/>
          <w:szCs w:val="24"/>
          <w:rtl/>
        </w:rPr>
        <w:t xml:space="preserve">המשיב </w:t>
      </w:r>
      <w:r>
        <w:rPr>
          <w:rFonts w:ascii="David" w:hAnsi="David" w:cs="David"/>
          <w:sz w:val="24"/>
          <w:szCs w:val="24"/>
          <w:rtl/>
        </w:rPr>
        <w:t>כי יש לסלק את הבקשה על הסף, זאת בשל העובדה לפיה עסקינן בצדדים אשר שקולים</w:t>
      </w:r>
      <w:r w:rsidR="00085F1C">
        <w:rPr>
          <w:rFonts w:ascii="David" w:hAnsi="David" w:cs="David"/>
          <w:sz w:val="24"/>
          <w:szCs w:val="24"/>
          <w:rtl/>
        </w:rPr>
        <w:t xml:space="preserve"> זה לזה מבחינה כלכלית. על כן, ט</w:t>
      </w:r>
      <w:r>
        <w:rPr>
          <w:rFonts w:ascii="David" w:hAnsi="David" w:cs="David"/>
          <w:sz w:val="24"/>
          <w:szCs w:val="24"/>
          <w:rtl/>
        </w:rPr>
        <w:t>ען כי אינו חייב במזונות ומדור ילדיו, כאשר הוא נוש</w:t>
      </w:r>
      <w:r w:rsidR="00085F1C">
        <w:rPr>
          <w:rFonts w:ascii="David" w:hAnsi="David" w:cs="David"/>
          <w:sz w:val="24"/>
          <w:szCs w:val="24"/>
          <w:rtl/>
        </w:rPr>
        <w:t>א בהם ישירות</w:t>
      </w:r>
      <w:r>
        <w:rPr>
          <w:rFonts w:ascii="David" w:hAnsi="David" w:cs="David"/>
          <w:sz w:val="24"/>
          <w:szCs w:val="24"/>
          <w:rtl/>
        </w:rPr>
        <w:t xml:space="preserve"> בזמנים שבהם </w:t>
      </w:r>
      <w:r>
        <w:rPr>
          <w:rFonts w:ascii="David" w:hAnsi="David" w:cs="David"/>
          <w:sz w:val="24"/>
          <w:szCs w:val="24"/>
          <w:rtl/>
        </w:rPr>
        <w:lastRenderedPageBreak/>
        <w:t>הילדים שוהים במחציתו, אשר כמעט זהים לזמנים בהם הילדים שוהים במחיצת המבקשת.</w:t>
      </w:r>
    </w:p>
    <w:p w:rsidR="00BC440E" w:rsidRPr="00BC440E" w:rsidRDefault="00BC440E" w:rsidP="00BC440E">
      <w:pPr>
        <w:pStyle w:val="ad"/>
        <w:rPr>
          <w:rFonts w:ascii="David" w:hAnsi="David" w:cs="David"/>
          <w:sz w:val="24"/>
          <w:szCs w:val="24"/>
          <w:rtl/>
        </w:rPr>
      </w:pPr>
    </w:p>
    <w:p w:rsidR="00BC440E" w:rsidRPr="00BC440E" w:rsidRDefault="00BC440E" w:rsidP="00BC440E">
      <w:pPr>
        <w:pStyle w:val="ad"/>
        <w:spacing w:before="240" w:line="360" w:lineRule="auto"/>
        <w:jc w:val="both"/>
        <w:rPr>
          <w:rFonts w:ascii="David" w:hAnsi="David" w:cs="David"/>
          <w:sz w:val="24"/>
          <w:szCs w:val="24"/>
          <w:rtl/>
        </w:rPr>
      </w:pPr>
    </w:p>
    <w:p w:rsidR="00B6344C" w:rsidRDefault="00082782" w:rsidP="00082782">
      <w:pPr>
        <w:pStyle w:val="ad"/>
        <w:numPr>
          <w:ilvl w:val="0"/>
          <w:numId w:val="1"/>
        </w:numPr>
        <w:spacing w:before="240" w:line="360" w:lineRule="auto"/>
        <w:jc w:val="both"/>
        <w:rPr>
          <w:rFonts w:ascii="David" w:hAnsi="David" w:cs="David"/>
          <w:sz w:val="24"/>
          <w:szCs w:val="24"/>
        </w:rPr>
      </w:pPr>
      <w:r>
        <w:rPr>
          <w:rFonts w:ascii="David" w:hAnsi="David" w:cs="David"/>
          <w:sz w:val="24"/>
          <w:szCs w:val="24"/>
          <w:rtl/>
        </w:rPr>
        <w:t>ביום 03.09.21, ניתנה הח</w:t>
      </w:r>
      <w:r w:rsidR="00085F1C">
        <w:rPr>
          <w:rFonts w:ascii="David" w:hAnsi="David" w:cs="David"/>
          <w:sz w:val="24"/>
          <w:szCs w:val="24"/>
          <w:rtl/>
        </w:rPr>
        <w:t xml:space="preserve">לטת </w:t>
      </w:r>
      <w:r w:rsidR="000413DB">
        <w:rPr>
          <w:rFonts w:ascii="David" w:hAnsi="David" w:cs="David"/>
          <w:sz w:val="24"/>
          <w:szCs w:val="24"/>
          <w:rtl/>
        </w:rPr>
        <w:t>בית המשפט</w:t>
      </w:r>
      <w:r w:rsidR="00085F1C">
        <w:rPr>
          <w:rFonts w:ascii="David" w:hAnsi="David" w:cs="David"/>
          <w:sz w:val="24"/>
          <w:szCs w:val="24"/>
          <w:rtl/>
        </w:rPr>
        <w:t xml:space="preserve"> קמא </w:t>
      </w:r>
      <w:r w:rsidR="00085F1C">
        <w:rPr>
          <w:rFonts w:ascii="David" w:hAnsi="David" w:cs="David" w:hint="cs"/>
          <w:sz w:val="24"/>
          <w:szCs w:val="24"/>
          <w:rtl/>
        </w:rPr>
        <w:t xml:space="preserve">במסגרתה נפסקו </w:t>
      </w:r>
      <w:r w:rsidR="005C32B3">
        <w:rPr>
          <w:rFonts w:ascii="David" w:hAnsi="David" w:cs="David"/>
          <w:sz w:val="24"/>
          <w:szCs w:val="24"/>
          <w:rtl/>
        </w:rPr>
        <w:t>מזונות</w:t>
      </w:r>
      <w:r w:rsidR="005C32B3">
        <w:rPr>
          <w:rFonts w:ascii="David" w:hAnsi="David" w:cs="David" w:hint="cs"/>
          <w:sz w:val="24"/>
          <w:szCs w:val="24"/>
          <w:rtl/>
        </w:rPr>
        <w:t xml:space="preserve"> </w:t>
      </w:r>
      <w:r>
        <w:rPr>
          <w:rFonts w:ascii="David" w:hAnsi="David" w:cs="David"/>
          <w:sz w:val="24"/>
          <w:szCs w:val="24"/>
          <w:rtl/>
        </w:rPr>
        <w:t xml:space="preserve">זמניים </w:t>
      </w:r>
      <w:r w:rsidR="00085F1C">
        <w:rPr>
          <w:rFonts w:ascii="David" w:hAnsi="David" w:cs="David" w:hint="cs"/>
          <w:sz w:val="24"/>
          <w:szCs w:val="24"/>
          <w:rtl/>
        </w:rPr>
        <w:t xml:space="preserve">על סך של 3,500 ₪ בנוסף לקצבת הילדים שתשולם למבקשת, וזאת </w:t>
      </w:r>
      <w:r>
        <w:rPr>
          <w:rFonts w:ascii="David" w:hAnsi="David" w:cs="David"/>
          <w:sz w:val="24"/>
          <w:szCs w:val="24"/>
          <w:rtl/>
        </w:rPr>
        <w:t>לתקופה קצובה וקצרה, עד</w:t>
      </w:r>
      <w:r w:rsidR="00085F1C">
        <w:rPr>
          <w:rFonts w:ascii="David" w:hAnsi="David" w:cs="David"/>
          <w:sz w:val="24"/>
          <w:szCs w:val="24"/>
          <w:rtl/>
        </w:rPr>
        <w:t xml:space="preserve"> לדיון הקבוע בעניינם של הצדדי</w:t>
      </w:r>
      <w:r w:rsidR="00085F1C">
        <w:rPr>
          <w:rFonts w:ascii="David" w:hAnsi="David" w:cs="David" w:hint="cs"/>
          <w:sz w:val="24"/>
          <w:szCs w:val="24"/>
          <w:rtl/>
        </w:rPr>
        <w:t xml:space="preserve">ם </w:t>
      </w:r>
      <w:r w:rsidR="00B6344C">
        <w:rPr>
          <w:rFonts w:ascii="David" w:hAnsi="David" w:cs="David" w:hint="cs"/>
          <w:sz w:val="24"/>
          <w:szCs w:val="24"/>
          <w:rtl/>
        </w:rPr>
        <w:t>ביום 07.02.2022, וכי "במועד זה יוכלו הצדדים לטעון הן לעניין גובה דמי המזונות והן לעניין מועד תחילת החיוב". אלא שמאוחר יותר דיון זה נדחה ליום 16.06.2022.</w:t>
      </w:r>
    </w:p>
    <w:p w:rsidR="00BC440E" w:rsidRDefault="00BC440E" w:rsidP="00BC440E">
      <w:pPr>
        <w:pStyle w:val="ad"/>
        <w:spacing w:before="240" w:line="360" w:lineRule="auto"/>
        <w:jc w:val="both"/>
        <w:rPr>
          <w:rFonts w:ascii="David" w:hAnsi="David" w:cs="David"/>
          <w:sz w:val="24"/>
          <w:szCs w:val="24"/>
        </w:rPr>
      </w:pPr>
    </w:p>
    <w:p w:rsidR="00082782" w:rsidRDefault="00082782" w:rsidP="00B6344C">
      <w:pPr>
        <w:pStyle w:val="ad"/>
        <w:numPr>
          <w:ilvl w:val="0"/>
          <w:numId w:val="1"/>
        </w:numPr>
        <w:spacing w:before="240" w:line="360" w:lineRule="auto"/>
        <w:jc w:val="both"/>
        <w:rPr>
          <w:rFonts w:ascii="David" w:hAnsi="David" w:cs="David"/>
          <w:sz w:val="24"/>
          <w:szCs w:val="24"/>
        </w:rPr>
      </w:pPr>
      <w:r w:rsidRPr="00B6344C">
        <w:rPr>
          <w:rFonts w:ascii="David" w:hAnsi="David" w:cs="David"/>
          <w:sz w:val="24"/>
          <w:szCs w:val="24"/>
          <w:rtl/>
        </w:rPr>
        <w:t>ב</w:t>
      </w:r>
      <w:r w:rsidR="00161634">
        <w:rPr>
          <w:rFonts w:ascii="David" w:hAnsi="David" w:cs="David" w:hint="cs"/>
          <w:sz w:val="24"/>
          <w:szCs w:val="24"/>
          <w:rtl/>
        </w:rPr>
        <w:t>דיון ב</w:t>
      </w:r>
      <w:r w:rsidRPr="00B6344C">
        <w:rPr>
          <w:rFonts w:ascii="David" w:hAnsi="David" w:cs="David"/>
          <w:sz w:val="24"/>
          <w:szCs w:val="24"/>
          <w:rtl/>
        </w:rPr>
        <w:t xml:space="preserve">יום </w:t>
      </w:r>
      <w:r w:rsidR="00085F1C" w:rsidRPr="00B6344C">
        <w:rPr>
          <w:rFonts w:ascii="David" w:hAnsi="David" w:cs="David"/>
          <w:sz w:val="24"/>
          <w:szCs w:val="24"/>
          <w:rtl/>
        </w:rPr>
        <w:t xml:space="preserve">16.06.22 </w:t>
      </w:r>
      <w:r w:rsidR="00161634">
        <w:rPr>
          <w:rFonts w:ascii="David" w:hAnsi="David" w:cs="David" w:hint="cs"/>
          <w:sz w:val="24"/>
          <w:szCs w:val="24"/>
          <w:rtl/>
        </w:rPr>
        <w:t>לא נשמעו טענות הצדדים בעניין המזונות הזמניים. בית משפט קמא הציע בפתח הדיון להפנות הצדדים</w:t>
      </w:r>
      <w:r w:rsidR="00161634">
        <w:rPr>
          <w:rFonts w:ascii="David" w:hAnsi="David" w:cs="David"/>
          <w:sz w:val="24"/>
          <w:szCs w:val="24"/>
          <w:rtl/>
        </w:rPr>
        <w:t xml:space="preserve"> להליך של גישור</w:t>
      </w:r>
      <w:r w:rsidR="00161634">
        <w:rPr>
          <w:rFonts w:ascii="David" w:hAnsi="David" w:cs="David" w:hint="cs"/>
          <w:sz w:val="24"/>
          <w:szCs w:val="24"/>
          <w:rtl/>
        </w:rPr>
        <w:t>, והם קיבלו את המלצתו, ובכך תם הדיון.</w:t>
      </w:r>
    </w:p>
    <w:p w:rsidR="00BC440E" w:rsidRPr="00B6344C" w:rsidRDefault="00BC440E" w:rsidP="00BC440E">
      <w:pPr>
        <w:pStyle w:val="ad"/>
        <w:spacing w:before="240" w:line="360" w:lineRule="auto"/>
        <w:jc w:val="both"/>
        <w:rPr>
          <w:rFonts w:ascii="David" w:hAnsi="David" w:cs="David"/>
          <w:sz w:val="24"/>
          <w:szCs w:val="24"/>
          <w:rtl/>
        </w:rPr>
      </w:pPr>
    </w:p>
    <w:p w:rsidR="00BC440E" w:rsidRDefault="005C32B3" w:rsidP="00082782">
      <w:pPr>
        <w:pStyle w:val="ad"/>
        <w:numPr>
          <w:ilvl w:val="0"/>
          <w:numId w:val="1"/>
        </w:numPr>
        <w:spacing w:before="240" w:line="360" w:lineRule="auto"/>
        <w:jc w:val="both"/>
        <w:rPr>
          <w:rFonts w:ascii="David" w:hAnsi="David" w:cs="David"/>
          <w:sz w:val="24"/>
          <w:szCs w:val="24"/>
        </w:rPr>
      </w:pPr>
      <w:r>
        <w:rPr>
          <w:rFonts w:ascii="David" w:hAnsi="David" w:cs="David" w:hint="cs"/>
          <w:sz w:val="24"/>
          <w:szCs w:val="24"/>
          <w:rtl/>
        </w:rPr>
        <w:t>הליך הגישור לא צלח ו</w:t>
      </w:r>
      <w:r w:rsidR="00161634">
        <w:rPr>
          <w:rFonts w:ascii="David" w:hAnsi="David" w:cs="David"/>
          <w:sz w:val="24"/>
          <w:szCs w:val="24"/>
          <w:rtl/>
        </w:rPr>
        <w:t>ביום 17.08.</w:t>
      </w:r>
      <w:r w:rsidR="00161634">
        <w:rPr>
          <w:rFonts w:ascii="David" w:hAnsi="David" w:cs="David" w:hint="cs"/>
          <w:sz w:val="24"/>
          <w:szCs w:val="24"/>
          <w:rtl/>
        </w:rPr>
        <w:t>2022</w:t>
      </w:r>
      <w:r w:rsidR="00082782">
        <w:rPr>
          <w:rFonts w:ascii="David" w:hAnsi="David" w:cs="David"/>
          <w:sz w:val="24"/>
          <w:szCs w:val="24"/>
          <w:rtl/>
        </w:rPr>
        <w:t xml:space="preserve"> הגישה המבקשת ב</w:t>
      </w:r>
      <w:r w:rsidR="00161634">
        <w:rPr>
          <w:rFonts w:ascii="David" w:hAnsi="David" w:cs="David"/>
          <w:sz w:val="24"/>
          <w:szCs w:val="24"/>
          <w:rtl/>
        </w:rPr>
        <w:t xml:space="preserve">קשה לפסיקת מזונות זמניים. </w:t>
      </w:r>
      <w:r w:rsidR="00082782">
        <w:rPr>
          <w:rFonts w:ascii="David" w:hAnsi="David" w:cs="David"/>
          <w:sz w:val="24"/>
          <w:szCs w:val="24"/>
          <w:rtl/>
        </w:rPr>
        <w:t>המבקשת</w:t>
      </w:r>
      <w:r w:rsidR="00161634">
        <w:rPr>
          <w:rFonts w:ascii="David" w:hAnsi="David" w:cs="David" w:hint="cs"/>
          <w:sz w:val="24"/>
          <w:szCs w:val="24"/>
          <w:rtl/>
        </w:rPr>
        <w:t xml:space="preserve"> טענה</w:t>
      </w:r>
      <w:r w:rsidR="00082782">
        <w:rPr>
          <w:rFonts w:ascii="David" w:hAnsi="David" w:cs="David"/>
          <w:sz w:val="24"/>
          <w:szCs w:val="24"/>
          <w:rtl/>
        </w:rPr>
        <w:t xml:space="preserve">, </w:t>
      </w:r>
      <w:r w:rsidR="00161634">
        <w:rPr>
          <w:rFonts w:ascii="David" w:hAnsi="David" w:cs="David" w:hint="cs"/>
          <w:sz w:val="24"/>
          <w:szCs w:val="24"/>
          <w:rtl/>
        </w:rPr>
        <w:t xml:space="preserve">כי </w:t>
      </w:r>
      <w:r w:rsidR="00161634">
        <w:rPr>
          <w:rFonts w:ascii="David" w:hAnsi="David" w:cs="David"/>
          <w:sz w:val="24"/>
          <w:szCs w:val="24"/>
          <w:rtl/>
        </w:rPr>
        <w:t>ההחלטה</w:t>
      </w:r>
      <w:r>
        <w:rPr>
          <w:rFonts w:ascii="David" w:hAnsi="David" w:cs="David" w:hint="cs"/>
          <w:sz w:val="24"/>
          <w:szCs w:val="24"/>
          <w:rtl/>
        </w:rPr>
        <w:t xml:space="preserve"> מיום 03.09.2021</w:t>
      </w:r>
      <w:r w:rsidR="00161634">
        <w:rPr>
          <w:rFonts w:ascii="David" w:hAnsi="David" w:cs="David"/>
          <w:sz w:val="24"/>
          <w:szCs w:val="24"/>
          <w:rtl/>
        </w:rPr>
        <w:t xml:space="preserve"> </w:t>
      </w:r>
      <w:r>
        <w:rPr>
          <w:rFonts w:ascii="David" w:hAnsi="David" w:cs="David" w:hint="cs"/>
          <w:sz w:val="24"/>
          <w:szCs w:val="24"/>
          <w:rtl/>
        </w:rPr>
        <w:t xml:space="preserve">היתה </w:t>
      </w:r>
      <w:r>
        <w:rPr>
          <w:rFonts w:ascii="David" w:hAnsi="David" w:cs="David"/>
          <w:sz w:val="24"/>
          <w:szCs w:val="24"/>
          <w:rtl/>
        </w:rPr>
        <w:t>למזונות טרום זמניים</w:t>
      </w:r>
      <w:r>
        <w:rPr>
          <w:rFonts w:ascii="David" w:hAnsi="David" w:cs="David" w:hint="cs"/>
          <w:sz w:val="24"/>
          <w:szCs w:val="24"/>
          <w:rtl/>
        </w:rPr>
        <w:t xml:space="preserve">; היא </w:t>
      </w:r>
      <w:r w:rsidR="00082782">
        <w:rPr>
          <w:rFonts w:ascii="David" w:hAnsi="David" w:cs="David"/>
          <w:sz w:val="24"/>
          <w:szCs w:val="24"/>
          <w:rtl/>
        </w:rPr>
        <w:t xml:space="preserve">ניתנה מבלי שהמשיב המציא ראיות </w:t>
      </w:r>
      <w:r w:rsidR="00161634">
        <w:rPr>
          <w:rFonts w:ascii="David" w:hAnsi="David" w:cs="David" w:hint="cs"/>
          <w:sz w:val="24"/>
          <w:szCs w:val="24"/>
          <w:rtl/>
        </w:rPr>
        <w:t xml:space="preserve">על </w:t>
      </w:r>
      <w:r w:rsidR="00082782">
        <w:rPr>
          <w:rFonts w:ascii="David" w:hAnsi="David" w:cs="David"/>
          <w:sz w:val="24"/>
          <w:szCs w:val="24"/>
          <w:rtl/>
        </w:rPr>
        <w:t>הכנסות</w:t>
      </w:r>
      <w:r w:rsidR="00161634">
        <w:rPr>
          <w:rFonts w:ascii="David" w:hAnsi="David" w:cs="David" w:hint="cs"/>
          <w:sz w:val="24"/>
          <w:szCs w:val="24"/>
          <w:rtl/>
        </w:rPr>
        <w:t>יו</w:t>
      </w:r>
      <w:r>
        <w:rPr>
          <w:rFonts w:ascii="David" w:hAnsi="David" w:cs="David" w:hint="cs"/>
          <w:sz w:val="24"/>
          <w:szCs w:val="24"/>
          <w:rtl/>
        </w:rPr>
        <w:t xml:space="preserve">, </w:t>
      </w:r>
      <w:r>
        <w:rPr>
          <w:rFonts w:ascii="David" w:hAnsi="David" w:cs="David"/>
          <w:sz w:val="24"/>
          <w:szCs w:val="24"/>
          <w:rtl/>
        </w:rPr>
        <w:t>עיסוקו</w:t>
      </w:r>
      <w:r>
        <w:rPr>
          <w:rFonts w:ascii="David" w:hAnsi="David" w:cs="David" w:hint="cs"/>
          <w:sz w:val="24"/>
          <w:szCs w:val="24"/>
          <w:rtl/>
        </w:rPr>
        <w:t xml:space="preserve"> וחוסנו הכלכלי;</w:t>
      </w:r>
      <w:r w:rsidR="00082782">
        <w:rPr>
          <w:rFonts w:ascii="David" w:hAnsi="David" w:cs="David"/>
          <w:sz w:val="24"/>
          <w:szCs w:val="24"/>
          <w:rtl/>
        </w:rPr>
        <w:t xml:space="preserve"> כי ההחלטה אינה ת</w:t>
      </w:r>
      <w:r w:rsidR="00161634">
        <w:rPr>
          <w:rFonts w:ascii="David" w:hAnsi="David" w:cs="David"/>
          <w:sz w:val="24"/>
          <w:szCs w:val="24"/>
          <w:rtl/>
        </w:rPr>
        <w:t>ואמת את פערי ההכנסות בין הצדדים</w:t>
      </w:r>
      <w:r w:rsidR="00161634">
        <w:rPr>
          <w:rFonts w:ascii="David" w:hAnsi="David" w:cs="David" w:hint="cs"/>
          <w:sz w:val="24"/>
          <w:szCs w:val="24"/>
          <w:rtl/>
        </w:rPr>
        <w:t xml:space="preserve"> ואת חלוקת</w:t>
      </w:r>
      <w:r w:rsidR="004023DF">
        <w:rPr>
          <w:rFonts w:ascii="David" w:hAnsi="David" w:cs="David"/>
          <w:sz w:val="24"/>
          <w:szCs w:val="24"/>
          <w:rtl/>
        </w:rPr>
        <w:t xml:space="preserve"> זמני השהות, ו</w:t>
      </w:r>
      <w:r w:rsidR="004023DF">
        <w:rPr>
          <w:rFonts w:ascii="David" w:hAnsi="David" w:cs="David" w:hint="cs"/>
          <w:sz w:val="24"/>
          <w:szCs w:val="24"/>
          <w:rtl/>
        </w:rPr>
        <w:t>היא א</w:t>
      </w:r>
      <w:r w:rsidR="00082782">
        <w:rPr>
          <w:rFonts w:ascii="David" w:hAnsi="David" w:cs="David"/>
          <w:sz w:val="24"/>
          <w:szCs w:val="24"/>
          <w:rtl/>
        </w:rPr>
        <w:t>ינה עולה בקנה אחד עם הקביעות בפסיקה לעניין רף מזונות מינימלי, נטל ההוכחה בפסיקת מזונות זמניים וכן מועד תחילת החיוב ב</w:t>
      </w:r>
      <w:r w:rsidR="00161634">
        <w:rPr>
          <w:rFonts w:ascii="David" w:hAnsi="David" w:cs="David" w:hint="cs"/>
          <w:sz w:val="24"/>
          <w:szCs w:val="24"/>
          <w:rtl/>
        </w:rPr>
        <w:t>הם</w:t>
      </w:r>
      <w:r w:rsidR="00082782">
        <w:rPr>
          <w:rFonts w:ascii="David" w:hAnsi="David" w:cs="David"/>
          <w:sz w:val="24"/>
          <w:szCs w:val="24"/>
          <w:rtl/>
        </w:rPr>
        <w:t>.</w:t>
      </w:r>
    </w:p>
    <w:p w:rsidR="00082782" w:rsidRDefault="00082782" w:rsidP="00BC440E">
      <w:pPr>
        <w:pStyle w:val="ad"/>
        <w:spacing w:before="240" w:line="360" w:lineRule="auto"/>
        <w:jc w:val="both"/>
        <w:rPr>
          <w:rFonts w:ascii="David" w:hAnsi="David" w:cs="David"/>
          <w:sz w:val="24"/>
          <w:szCs w:val="24"/>
          <w:rtl/>
        </w:rPr>
      </w:pPr>
      <w:r>
        <w:rPr>
          <w:rFonts w:ascii="David" w:hAnsi="David" w:cs="David"/>
          <w:sz w:val="24"/>
          <w:szCs w:val="24"/>
          <w:rtl/>
        </w:rPr>
        <w:t xml:space="preserve"> </w:t>
      </w:r>
    </w:p>
    <w:p w:rsidR="00082782" w:rsidRDefault="00161634" w:rsidP="00082782">
      <w:pPr>
        <w:pStyle w:val="ad"/>
        <w:numPr>
          <w:ilvl w:val="0"/>
          <w:numId w:val="1"/>
        </w:numPr>
        <w:spacing w:before="240" w:line="360" w:lineRule="auto"/>
        <w:jc w:val="both"/>
        <w:rPr>
          <w:rFonts w:ascii="David" w:hAnsi="David" w:cs="David"/>
          <w:sz w:val="24"/>
          <w:szCs w:val="24"/>
        </w:rPr>
      </w:pPr>
      <w:r>
        <w:rPr>
          <w:rFonts w:ascii="David" w:hAnsi="David" w:cs="David"/>
          <w:sz w:val="24"/>
          <w:szCs w:val="24"/>
          <w:rtl/>
        </w:rPr>
        <w:t>ביום 05.09.2</w:t>
      </w:r>
      <w:r>
        <w:rPr>
          <w:rFonts w:ascii="David" w:hAnsi="David" w:cs="David" w:hint="cs"/>
          <w:sz w:val="24"/>
          <w:szCs w:val="24"/>
          <w:rtl/>
        </w:rPr>
        <w:t>022</w:t>
      </w:r>
      <w:r w:rsidR="00082782">
        <w:rPr>
          <w:rFonts w:ascii="David" w:hAnsi="David" w:cs="David"/>
          <w:sz w:val="24"/>
          <w:szCs w:val="24"/>
          <w:rtl/>
        </w:rPr>
        <w:t xml:space="preserve"> הוגשה תגובת המשיב לבקשה לפ</w:t>
      </w:r>
      <w:r>
        <w:rPr>
          <w:rFonts w:ascii="David" w:hAnsi="David" w:cs="David"/>
          <w:sz w:val="24"/>
          <w:szCs w:val="24"/>
          <w:rtl/>
        </w:rPr>
        <w:t>סיקת מזונות זמניים. ביום 18.10.</w:t>
      </w:r>
      <w:r w:rsidR="00082782">
        <w:rPr>
          <w:rFonts w:ascii="David" w:hAnsi="David" w:cs="David"/>
          <w:sz w:val="24"/>
          <w:szCs w:val="24"/>
          <w:rtl/>
        </w:rPr>
        <w:t>2</w:t>
      </w:r>
      <w:r>
        <w:rPr>
          <w:rFonts w:ascii="David" w:hAnsi="David" w:cs="David" w:hint="cs"/>
          <w:sz w:val="24"/>
          <w:szCs w:val="24"/>
          <w:rtl/>
        </w:rPr>
        <w:t>022</w:t>
      </w:r>
      <w:r w:rsidR="00082782">
        <w:rPr>
          <w:rFonts w:ascii="David" w:hAnsi="David" w:cs="David"/>
          <w:sz w:val="24"/>
          <w:szCs w:val="24"/>
          <w:rtl/>
        </w:rPr>
        <w:t xml:space="preserve"> הוגשה תשובת המבקשת לתגובת המשיב.</w:t>
      </w:r>
    </w:p>
    <w:p w:rsidR="00BC440E" w:rsidRDefault="00BC440E" w:rsidP="00BC440E">
      <w:pPr>
        <w:pStyle w:val="ad"/>
        <w:spacing w:before="240" w:line="360" w:lineRule="auto"/>
        <w:jc w:val="both"/>
        <w:rPr>
          <w:rFonts w:ascii="David" w:hAnsi="David" w:cs="David"/>
          <w:sz w:val="24"/>
          <w:szCs w:val="24"/>
          <w:rtl/>
        </w:rPr>
      </w:pPr>
    </w:p>
    <w:p w:rsidR="00082782" w:rsidRDefault="00161634" w:rsidP="00082782">
      <w:pPr>
        <w:pStyle w:val="ad"/>
        <w:numPr>
          <w:ilvl w:val="0"/>
          <w:numId w:val="1"/>
        </w:numPr>
        <w:spacing w:before="240" w:line="360" w:lineRule="auto"/>
        <w:jc w:val="both"/>
        <w:rPr>
          <w:rFonts w:ascii="David" w:hAnsi="David" w:cs="David"/>
          <w:sz w:val="24"/>
          <w:szCs w:val="24"/>
        </w:rPr>
      </w:pPr>
      <w:r>
        <w:rPr>
          <w:rFonts w:ascii="David" w:hAnsi="David" w:cs="David"/>
          <w:sz w:val="24"/>
          <w:szCs w:val="24"/>
          <w:rtl/>
        </w:rPr>
        <w:t>ביום 18.1.2</w:t>
      </w:r>
      <w:r>
        <w:rPr>
          <w:rFonts w:ascii="David" w:hAnsi="David" w:cs="David" w:hint="cs"/>
          <w:sz w:val="24"/>
          <w:szCs w:val="24"/>
          <w:rtl/>
        </w:rPr>
        <w:t>023</w:t>
      </w:r>
      <w:r w:rsidR="00082782">
        <w:rPr>
          <w:rFonts w:ascii="David" w:hAnsi="David" w:cs="David"/>
          <w:sz w:val="24"/>
          <w:szCs w:val="24"/>
          <w:rtl/>
        </w:rPr>
        <w:t xml:space="preserve"> ניתנה החלטת </w:t>
      </w:r>
      <w:r w:rsidR="000413DB">
        <w:rPr>
          <w:rFonts w:ascii="David" w:hAnsi="David" w:cs="David"/>
          <w:sz w:val="24"/>
          <w:szCs w:val="24"/>
          <w:rtl/>
        </w:rPr>
        <w:t>בית המשפט</w:t>
      </w:r>
      <w:r w:rsidR="00082782">
        <w:rPr>
          <w:rFonts w:ascii="David" w:hAnsi="David" w:cs="David"/>
          <w:sz w:val="24"/>
          <w:szCs w:val="24"/>
          <w:rtl/>
        </w:rPr>
        <w:t xml:space="preserve"> קמא </w:t>
      </w:r>
      <w:r w:rsidR="004023DF">
        <w:rPr>
          <w:rFonts w:ascii="David" w:hAnsi="David" w:cs="David" w:hint="cs"/>
          <w:sz w:val="24"/>
          <w:szCs w:val="24"/>
          <w:rtl/>
        </w:rPr>
        <w:t>מושא בקשת רשות הערעור. בית משפט קמא דחה</w:t>
      </w:r>
      <w:r w:rsidR="004023DF">
        <w:rPr>
          <w:rFonts w:ascii="David" w:hAnsi="David" w:cs="David"/>
          <w:sz w:val="24"/>
          <w:szCs w:val="24"/>
          <w:rtl/>
        </w:rPr>
        <w:t xml:space="preserve"> את בקשת המבקשת וקבע</w:t>
      </w:r>
      <w:r w:rsidR="00082782">
        <w:rPr>
          <w:rFonts w:ascii="David" w:hAnsi="David" w:cs="David"/>
          <w:sz w:val="24"/>
          <w:szCs w:val="24"/>
          <w:rtl/>
        </w:rPr>
        <w:t xml:space="preserve"> כי יש להותיר את ה</w:t>
      </w:r>
      <w:r w:rsidR="004023DF">
        <w:rPr>
          <w:rFonts w:ascii="David" w:hAnsi="David" w:cs="David"/>
          <w:sz w:val="24"/>
          <w:szCs w:val="24"/>
          <w:rtl/>
        </w:rPr>
        <w:t xml:space="preserve">החלטה מיום 03.09.21 על כנה, </w:t>
      </w:r>
      <w:r w:rsidR="004023DF">
        <w:rPr>
          <w:rFonts w:ascii="David" w:hAnsi="David" w:cs="David" w:hint="cs"/>
          <w:sz w:val="24"/>
          <w:szCs w:val="24"/>
          <w:rtl/>
        </w:rPr>
        <w:t>מש</w:t>
      </w:r>
      <w:r w:rsidR="004023DF">
        <w:rPr>
          <w:rFonts w:ascii="David" w:hAnsi="David" w:cs="David"/>
          <w:sz w:val="24"/>
          <w:szCs w:val="24"/>
          <w:rtl/>
        </w:rPr>
        <w:t>מדובר במזונות זמניים שנפסק</w:t>
      </w:r>
      <w:r w:rsidR="004023DF">
        <w:rPr>
          <w:rFonts w:ascii="David" w:hAnsi="David" w:cs="David" w:hint="cs"/>
          <w:sz w:val="24"/>
          <w:szCs w:val="24"/>
          <w:rtl/>
        </w:rPr>
        <w:t>ו</w:t>
      </w:r>
      <w:r w:rsidR="00082782">
        <w:rPr>
          <w:rFonts w:ascii="David" w:hAnsi="David" w:cs="David"/>
          <w:sz w:val="24"/>
          <w:szCs w:val="24"/>
          <w:rtl/>
        </w:rPr>
        <w:t xml:space="preserve"> ב</w:t>
      </w:r>
      <w:r w:rsidR="004023DF">
        <w:rPr>
          <w:rFonts w:ascii="David" w:hAnsi="David" w:cs="David"/>
          <w:sz w:val="24"/>
          <w:szCs w:val="24"/>
          <w:rtl/>
        </w:rPr>
        <w:t>שלב ראשוני על בסיס ראיות לכאורה</w:t>
      </w:r>
      <w:r w:rsidR="004023DF">
        <w:rPr>
          <w:rFonts w:ascii="David" w:hAnsi="David" w:cs="David" w:hint="cs"/>
          <w:sz w:val="24"/>
          <w:szCs w:val="24"/>
          <w:rtl/>
        </w:rPr>
        <w:t xml:space="preserve">, </w:t>
      </w:r>
      <w:r w:rsidR="0089158D">
        <w:rPr>
          <w:rFonts w:ascii="David" w:hAnsi="David" w:cs="David" w:hint="cs"/>
          <w:sz w:val="24"/>
          <w:szCs w:val="24"/>
          <w:rtl/>
        </w:rPr>
        <w:t xml:space="preserve">"לפיכך לא נדרש בית המשפט להיכנס לעובי הקורה באשר לנתוני הצדדים </w:t>
      </w:r>
      <w:r w:rsidR="0089158D">
        <w:rPr>
          <w:rFonts w:ascii="David" w:hAnsi="David" w:cs="David"/>
          <w:sz w:val="24"/>
          <w:szCs w:val="24"/>
        </w:rPr>
        <w:t>)</w:t>
      </w:r>
      <w:r w:rsidR="0089158D">
        <w:rPr>
          <w:rFonts w:ascii="David" w:hAnsi="David" w:cs="David" w:hint="cs"/>
          <w:sz w:val="24"/>
          <w:szCs w:val="24"/>
          <w:rtl/>
        </w:rPr>
        <w:t xml:space="preserve"> השתכרותם, פוטנציאל השתכרותם, רכושם, חובות, הלוואות ועוד) והוא רשאי לפסוק מזונות זמניים על דרך האומדנא". עוד הוסיף בית משפט קמא כי הוא עיין בטענות הצדדים ולא מצא מקום לשנות מההחלטה שניתנה ב</w:t>
      </w:r>
      <w:r w:rsidR="009D1CBF">
        <w:rPr>
          <w:rFonts w:ascii="David" w:hAnsi="David" w:cs="David" w:hint="cs"/>
          <w:sz w:val="24"/>
          <w:szCs w:val="24"/>
          <w:rtl/>
        </w:rPr>
        <w:t>עבר.</w:t>
      </w:r>
      <w:r w:rsidR="004023DF">
        <w:rPr>
          <w:rFonts w:ascii="David" w:hAnsi="David" w:cs="David" w:hint="cs"/>
          <w:sz w:val="24"/>
          <w:szCs w:val="24"/>
          <w:rtl/>
        </w:rPr>
        <w:t xml:space="preserve"> </w:t>
      </w:r>
    </w:p>
    <w:p w:rsidR="00BC440E" w:rsidRDefault="00BC440E" w:rsidP="00BC440E">
      <w:pPr>
        <w:pStyle w:val="ad"/>
        <w:spacing w:before="240" w:line="360" w:lineRule="auto"/>
        <w:jc w:val="both"/>
        <w:rPr>
          <w:rFonts w:ascii="David" w:hAnsi="David" w:cs="David"/>
          <w:sz w:val="24"/>
          <w:szCs w:val="24"/>
          <w:rtl/>
        </w:rPr>
      </w:pPr>
    </w:p>
    <w:p w:rsidR="00082782" w:rsidRPr="000413DB" w:rsidRDefault="00082782" w:rsidP="000413DB">
      <w:pPr>
        <w:pStyle w:val="ad"/>
        <w:numPr>
          <w:ilvl w:val="0"/>
          <w:numId w:val="1"/>
        </w:numPr>
        <w:spacing w:before="240" w:line="360" w:lineRule="auto"/>
        <w:jc w:val="both"/>
        <w:rPr>
          <w:rFonts w:ascii="David" w:hAnsi="David" w:cs="David"/>
          <w:sz w:val="24"/>
          <w:szCs w:val="24"/>
          <w:rtl/>
        </w:rPr>
      </w:pPr>
      <w:r>
        <w:rPr>
          <w:rFonts w:ascii="David" w:hAnsi="David" w:cs="David"/>
          <w:sz w:val="24"/>
          <w:szCs w:val="24"/>
          <w:rtl/>
        </w:rPr>
        <w:lastRenderedPageBreak/>
        <w:t>ביום 12.02.23 הגישה המבקשת בקשה לעיון חוזר בהחלטה בעניין המזונות הזמניים, אשר נדחת</w:t>
      </w:r>
      <w:r w:rsidR="009D1CBF">
        <w:rPr>
          <w:rFonts w:ascii="David" w:hAnsi="David" w:cs="David"/>
          <w:sz w:val="24"/>
          <w:szCs w:val="24"/>
          <w:rtl/>
        </w:rPr>
        <w:t xml:space="preserve">ה ביום 13.02.23 ע"י </w:t>
      </w:r>
      <w:r w:rsidR="000413DB">
        <w:rPr>
          <w:rFonts w:ascii="David" w:hAnsi="David" w:cs="David"/>
          <w:sz w:val="24"/>
          <w:szCs w:val="24"/>
          <w:rtl/>
        </w:rPr>
        <w:t>בית המשפט</w:t>
      </w:r>
      <w:r w:rsidR="009D1CBF">
        <w:rPr>
          <w:rFonts w:ascii="David" w:hAnsi="David" w:cs="David"/>
          <w:sz w:val="24"/>
          <w:szCs w:val="24"/>
          <w:rtl/>
        </w:rPr>
        <w:t xml:space="preserve"> קמא</w:t>
      </w:r>
      <w:r w:rsidR="009D1CBF">
        <w:rPr>
          <w:rFonts w:ascii="David" w:hAnsi="David" w:cs="David" w:hint="cs"/>
          <w:sz w:val="24"/>
          <w:szCs w:val="24"/>
          <w:rtl/>
        </w:rPr>
        <w:t xml:space="preserve"> אשר ציין כי אינו יושב כערכאת ערעור על החלטותיו.</w:t>
      </w:r>
    </w:p>
    <w:p w:rsidR="00082782" w:rsidRDefault="00082782" w:rsidP="00082782">
      <w:pPr>
        <w:spacing w:before="240" w:line="360" w:lineRule="auto"/>
        <w:ind w:left="360"/>
        <w:jc w:val="both"/>
        <w:rPr>
          <w:rFonts w:ascii="David" w:hAnsi="David"/>
          <w:b/>
          <w:bCs/>
          <w:u w:val="single"/>
        </w:rPr>
      </w:pPr>
      <w:r>
        <w:rPr>
          <w:rFonts w:ascii="David" w:hAnsi="David"/>
          <w:b/>
          <w:bCs/>
          <w:u w:val="single"/>
          <w:rtl/>
        </w:rPr>
        <w:t>בקשת רשות הערעור</w:t>
      </w:r>
    </w:p>
    <w:p w:rsidR="00082782" w:rsidRDefault="009D1CBF" w:rsidP="00082782">
      <w:pPr>
        <w:pStyle w:val="ad"/>
        <w:numPr>
          <w:ilvl w:val="0"/>
          <w:numId w:val="1"/>
        </w:numPr>
        <w:spacing w:before="240" w:line="360" w:lineRule="auto"/>
        <w:jc w:val="both"/>
        <w:rPr>
          <w:rFonts w:ascii="David" w:hAnsi="David" w:cs="David"/>
          <w:sz w:val="24"/>
          <w:szCs w:val="24"/>
        </w:rPr>
      </w:pPr>
      <w:r>
        <w:rPr>
          <w:rFonts w:ascii="David" w:hAnsi="David" w:cs="David"/>
          <w:sz w:val="24"/>
          <w:szCs w:val="24"/>
          <w:rtl/>
        </w:rPr>
        <w:t xml:space="preserve">על </w:t>
      </w:r>
      <w:r>
        <w:rPr>
          <w:rFonts w:ascii="David" w:hAnsi="David" w:cs="David" w:hint="cs"/>
          <w:sz w:val="24"/>
          <w:szCs w:val="24"/>
          <w:rtl/>
        </w:rPr>
        <w:t>ההחלטה מיום 18.01.2023</w:t>
      </w:r>
      <w:r w:rsidR="00082782">
        <w:rPr>
          <w:rFonts w:ascii="David" w:hAnsi="David" w:cs="David"/>
          <w:sz w:val="24"/>
          <w:szCs w:val="24"/>
          <w:rtl/>
        </w:rPr>
        <w:t xml:space="preserve"> מלינה המבקשת בבקשת רשות הערעור שלפניי. המבקשת חוזרת על טענותיה אשר </w:t>
      </w:r>
      <w:r>
        <w:rPr>
          <w:rFonts w:ascii="David" w:hAnsi="David" w:cs="David"/>
          <w:sz w:val="24"/>
          <w:szCs w:val="24"/>
          <w:rtl/>
        </w:rPr>
        <w:t xml:space="preserve">נטענו לפני </w:t>
      </w:r>
      <w:r w:rsidR="000413DB">
        <w:rPr>
          <w:rFonts w:ascii="David" w:hAnsi="David" w:cs="David"/>
          <w:sz w:val="24"/>
          <w:szCs w:val="24"/>
          <w:rtl/>
        </w:rPr>
        <w:t>בית המשפט</w:t>
      </w:r>
      <w:r>
        <w:rPr>
          <w:rFonts w:ascii="David" w:hAnsi="David" w:cs="David"/>
          <w:sz w:val="24"/>
          <w:szCs w:val="24"/>
          <w:rtl/>
        </w:rPr>
        <w:t xml:space="preserve"> קמא</w:t>
      </w:r>
      <w:r>
        <w:rPr>
          <w:rFonts w:ascii="David" w:hAnsi="David" w:cs="David" w:hint="cs"/>
          <w:sz w:val="24"/>
          <w:szCs w:val="24"/>
          <w:rtl/>
        </w:rPr>
        <w:t>,</w:t>
      </w:r>
      <w:r w:rsidR="00161634">
        <w:rPr>
          <w:rFonts w:ascii="David" w:hAnsi="David" w:cs="David"/>
          <w:sz w:val="24"/>
          <w:szCs w:val="24"/>
          <w:rtl/>
        </w:rPr>
        <w:t xml:space="preserve"> </w:t>
      </w:r>
      <w:r>
        <w:rPr>
          <w:rFonts w:ascii="David" w:hAnsi="David" w:cs="David" w:hint="cs"/>
          <w:sz w:val="24"/>
          <w:szCs w:val="24"/>
          <w:rtl/>
        </w:rPr>
        <w:t>ו</w:t>
      </w:r>
      <w:r w:rsidR="00161634">
        <w:rPr>
          <w:rFonts w:ascii="David" w:hAnsi="David" w:cs="David" w:hint="cs"/>
          <w:sz w:val="24"/>
          <w:szCs w:val="24"/>
          <w:rtl/>
        </w:rPr>
        <w:t xml:space="preserve">לדידה, </w:t>
      </w:r>
      <w:r w:rsidR="00EC4298">
        <w:rPr>
          <w:rFonts w:ascii="David" w:hAnsi="David" w:cs="David"/>
          <w:sz w:val="24"/>
          <w:szCs w:val="24"/>
          <w:rtl/>
        </w:rPr>
        <w:t>המשמעות של ההחלטה</w:t>
      </w:r>
      <w:r w:rsidR="00082782">
        <w:rPr>
          <w:rFonts w:ascii="David" w:hAnsi="David" w:cs="David"/>
          <w:sz w:val="24"/>
          <w:szCs w:val="24"/>
          <w:rtl/>
        </w:rPr>
        <w:t xml:space="preserve"> היא קריסתה הכלכלית של המבקשת ואף חשש לפגיעה בכלכלת הילדים.</w:t>
      </w:r>
    </w:p>
    <w:p w:rsidR="00624CB9" w:rsidRDefault="00624CB9" w:rsidP="00624CB9">
      <w:pPr>
        <w:pStyle w:val="ad"/>
        <w:spacing w:before="240" w:line="360" w:lineRule="auto"/>
        <w:jc w:val="both"/>
        <w:rPr>
          <w:rFonts w:ascii="David" w:hAnsi="David" w:cs="David"/>
          <w:sz w:val="24"/>
          <w:szCs w:val="24"/>
          <w:rtl/>
        </w:rPr>
      </w:pPr>
    </w:p>
    <w:p w:rsidR="00EC4298" w:rsidRDefault="00082782" w:rsidP="00082782">
      <w:pPr>
        <w:pStyle w:val="ad"/>
        <w:spacing w:before="240" w:line="360" w:lineRule="auto"/>
        <w:jc w:val="both"/>
        <w:rPr>
          <w:rFonts w:ascii="David" w:hAnsi="David" w:cs="David"/>
          <w:sz w:val="24"/>
          <w:szCs w:val="24"/>
          <w:rtl/>
        </w:rPr>
      </w:pPr>
      <w:r>
        <w:rPr>
          <w:rFonts w:ascii="David" w:hAnsi="David" w:cs="David"/>
          <w:sz w:val="24"/>
          <w:szCs w:val="24"/>
          <w:rtl/>
        </w:rPr>
        <w:t xml:space="preserve">לטענתה, טעה </w:t>
      </w:r>
      <w:r w:rsidR="000413DB">
        <w:rPr>
          <w:rFonts w:ascii="David" w:hAnsi="David" w:cs="David"/>
          <w:sz w:val="24"/>
          <w:szCs w:val="24"/>
          <w:rtl/>
        </w:rPr>
        <w:t>בית המשפט</w:t>
      </w:r>
      <w:r>
        <w:rPr>
          <w:rFonts w:ascii="David" w:hAnsi="David" w:cs="David"/>
          <w:sz w:val="24"/>
          <w:szCs w:val="24"/>
          <w:rtl/>
        </w:rPr>
        <w:t xml:space="preserve"> קמא כאשר לא התייחס לכך שהמשיב הפר את דרישות הדין ביחס ל</w:t>
      </w:r>
      <w:r w:rsidR="009D1CBF">
        <w:rPr>
          <w:rFonts w:ascii="David" w:hAnsi="David" w:cs="David"/>
          <w:sz w:val="24"/>
          <w:szCs w:val="24"/>
          <w:rtl/>
        </w:rPr>
        <w:t>גילוי הכנסותיו</w:t>
      </w:r>
      <w:r w:rsidR="009D1CBF">
        <w:rPr>
          <w:rFonts w:ascii="David" w:hAnsi="David" w:cs="David" w:hint="cs"/>
          <w:sz w:val="24"/>
          <w:szCs w:val="24"/>
          <w:rtl/>
        </w:rPr>
        <w:t xml:space="preserve">, משלא </w:t>
      </w:r>
      <w:r>
        <w:rPr>
          <w:rFonts w:ascii="David" w:hAnsi="David" w:cs="David"/>
          <w:sz w:val="24"/>
          <w:szCs w:val="24"/>
          <w:rtl/>
        </w:rPr>
        <w:t xml:space="preserve">המציא </w:t>
      </w:r>
      <w:r w:rsidR="009D1CBF">
        <w:rPr>
          <w:rFonts w:ascii="David" w:hAnsi="David" w:cs="David" w:hint="cs"/>
          <w:sz w:val="24"/>
          <w:szCs w:val="24"/>
          <w:rtl/>
        </w:rPr>
        <w:t xml:space="preserve">כל </w:t>
      </w:r>
      <w:r>
        <w:rPr>
          <w:rFonts w:ascii="David" w:hAnsi="David" w:cs="David"/>
          <w:sz w:val="24"/>
          <w:szCs w:val="24"/>
          <w:rtl/>
        </w:rPr>
        <w:t>ראי</w:t>
      </w:r>
      <w:r w:rsidR="009D1CBF">
        <w:rPr>
          <w:rFonts w:ascii="David" w:hAnsi="David" w:cs="David"/>
          <w:sz w:val="24"/>
          <w:szCs w:val="24"/>
          <w:rtl/>
        </w:rPr>
        <w:t xml:space="preserve">ה המעידה על הכנסתו ולא </w:t>
      </w:r>
      <w:r w:rsidR="009D1CBF">
        <w:rPr>
          <w:rFonts w:ascii="David" w:hAnsi="David" w:cs="David" w:hint="cs"/>
          <w:sz w:val="24"/>
          <w:szCs w:val="24"/>
          <w:rtl/>
        </w:rPr>
        <w:t xml:space="preserve">סתר במסמכים </w:t>
      </w:r>
      <w:r>
        <w:rPr>
          <w:rFonts w:ascii="David" w:hAnsi="David" w:cs="David"/>
          <w:sz w:val="24"/>
          <w:szCs w:val="24"/>
          <w:rtl/>
        </w:rPr>
        <w:t>טענת המ</w:t>
      </w:r>
      <w:r w:rsidR="009D1CBF">
        <w:rPr>
          <w:rFonts w:ascii="David" w:hAnsi="David" w:cs="David"/>
          <w:sz w:val="24"/>
          <w:szCs w:val="24"/>
          <w:rtl/>
        </w:rPr>
        <w:t>בקשת בדבר גובה הכנסתו</w:t>
      </w:r>
      <w:r>
        <w:rPr>
          <w:rFonts w:ascii="David" w:hAnsi="David" w:cs="David"/>
          <w:sz w:val="24"/>
          <w:szCs w:val="24"/>
          <w:rtl/>
        </w:rPr>
        <w:t xml:space="preserve">. </w:t>
      </w:r>
    </w:p>
    <w:p w:rsidR="00BC440E" w:rsidRDefault="00BC440E" w:rsidP="00082782">
      <w:pPr>
        <w:pStyle w:val="ad"/>
        <w:spacing w:before="240" w:line="360" w:lineRule="auto"/>
        <w:jc w:val="both"/>
        <w:rPr>
          <w:rFonts w:ascii="David" w:hAnsi="David" w:cs="David"/>
          <w:sz w:val="24"/>
          <w:szCs w:val="24"/>
          <w:rtl/>
        </w:rPr>
      </w:pPr>
    </w:p>
    <w:p w:rsidR="00082782" w:rsidRDefault="00EC4298" w:rsidP="00082782">
      <w:pPr>
        <w:pStyle w:val="ad"/>
        <w:spacing w:before="240" w:line="360" w:lineRule="auto"/>
        <w:jc w:val="both"/>
        <w:rPr>
          <w:rFonts w:ascii="David" w:hAnsi="David" w:cs="David"/>
          <w:sz w:val="24"/>
          <w:szCs w:val="24"/>
          <w:rtl/>
        </w:rPr>
      </w:pPr>
      <w:r>
        <w:rPr>
          <w:rFonts w:ascii="David" w:hAnsi="David" w:cs="David" w:hint="cs"/>
          <w:sz w:val="24"/>
          <w:szCs w:val="24"/>
          <w:rtl/>
        </w:rPr>
        <w:t xml:space="preserve">המבקשת מוסיפה וטוענת כי </w:t>
      </w:r>
      <w:r w:rsidR="009D1CBF">
        <w:rPr>
          <w:rFonts w:ascii="David" w:hAnsi="David" w:cs="David"/>
          <w:sz w:val="24"/>
          <w:szCs w:val="24"/>
          <w:rtl/>
        </w:rPr>
        <w:t xml:space="preserve">הגם שמדובר בפסיקת מזונות </w:t>
      </w:r>
      <w:r w:rsidR="009D1CBF">
        <w:rPr>
          <w:rFonts w:ascii="David" w:hAnsi="David" w:cs="David" w:hint="cs"/>
          <w:sz w:val="24"/>
          <w:szCs w:val="24"/>
          <w:rtl/>
        </w:rPr>
        <w:t>על דרך ה</w:t>
      </w:r>
      <w:r w:rsidR="009D1CBF">
        <w:rPr>
          <w:rFonts w:ascii="David" w:hAnsi="David" w:cs="David"/>
          <w:sz w:val="24"/>
          <w:szCs w:val="24"/>
          <w:rtl/>
        </w:rPr>
        <w:t>אומדנ</w:t>
      </w:r>
      <w:r w:rsidR="009D1CBF">
        <w:rPr>
          <w:rFonts w:ascii="David" w:hAnsi="David" w:cs="David" w:hint="cs"/>
          <w:sz w:val="24"/>
          <w:szCs w:val="24"/>
          <w:rtl/>
        </w:rPr>
        <w:t>ה</w:t>
      </w:r>
      <w:r w:rsidR="00082782">
        <w:rPr>
          <w:rFonts w:ascii="David" w:hAnsi="David" w:cs="David"/>
          <w:sz w:val="24"/>
          <w:szCs w:val="24"/>
          <w:rtl/>
        </w:rPr>
        <w:t>, ראוי שתעשה באופן פרופורציונלי ובהתאם להערכה כלל</w:t>
      </w:r>
      <w:r>
        <w:rPr>
          <w:rFonts w:ascii="David" w:hAnsi="David" w:cs="David"/>
          <w:sz w:val="24"/>
          <w:szCs w:val="24"/>
          <w:rtl/>
        </w:rPr>
        <w:t>ית של נסיבות הצדדים. בנוסף,</w:t>
      </w:r>
      <w:r>
        <w:rPr>
          <w:rFonts w:ascii="David" w:hAnsi="David" w:cs="David" w:hint="cs"/>
          <w:sz w:val="24"/>
          <w:szCs w:val="24"/>
          <w:rtl/>
        </w:rPr>
        <w:t xml:space="preserve"> נטען</w:t>
      </w:r>
      <w:r w:rsidR="00082782">
        <w:rPr>
          <w:rFonts w:ascii="David" w:hAnsi="David" w:cs="David"/>
          <w:sz w:val="24"/>
          <w:szCs w:val="24"/>
          <w:rtl/>
        </w:rPr>
        <w:t xml:space="preserve"> כי סכום המזונות הוא נמוך מהמינימום הקבוע בפסיקה וכי המזונות הזמניים שנפסקו (3</w:t>
      </w:r>
      <w:r>
        <w:rPr>
          <w:rFonts w:ascii="David" w:hAnsi="David" w:cs="David" w:hint="cs"/>
          <w:sz w:val="24"/>
          <w:szCs w:val="24"/>
          <w:rtl/>
        </w:rPr>
        <w:t>,</w:t>
      </w:r>
      <w:r w:rsidR="00082782">
        <w:rPr>
          <w:rFonts w:ascii="David" w:hAnsi="David" w:cs="David"/>
          <w:sz w:val="24"/>
          <w:szCs w:val="24"/>
          <w:rtl/>
        </w:rPr>
        <w:t>500 ₪ לשל</w:t>
      </w:r>
      <w:r>
        <w:rPr>
          <w:rFonts w:ascii="David" w:hAnsi="David" w:cs="David"/>
          <w:sz w:val="24"/>
          <w:szCs w:val="24"/>
          <w:rtl/>
        </w:rPr>
        <w:t xml:space="preserve">ושת הילדים) הם נמוכים מאוד </w:t>
      </w:r>
      <w:r>
        <w:rPr>
          <w:rFonts w:ascii="David" w:hAnsi="David" w:cs="David" w:hint="cs"/>
          <w:sz w:val="24"/>
          <w:szCs w:val="24"/>
          <w:rtl/>
        </w:rPr>
        <w:t>בשים לב ל</w:t>
      </w:r>
      <w:r w:rsidR="00082782">
        <w:rPr>
          <w:rFonts w:ascii="David" w:hAnsi="David" w:cs="David"/>
          <w:sz w:val="24"/>
          <w:szCs w:val="24"/>
          <w:rtl/>
        </w:rPr>
        <w:t>מצבם הכלכלי של הצדדים, רכושם וימי השהות של הילדים עימם.</w:t>
      </w:r>
    </w:p>
    <w:p w:rsidR="00BC440E" w:rsidRDefault="00BC440E" w:rsidP="00082782">
      <w:pPr>
        <w:pStyle w:val="ad"/>
        <w:spacing w:before="240" w:line="360" w:lineRule="auto"/>
        <w:jc w:val="both"/>
        <w:rPr>
          <w:rFonts w:ascii="David" w:hAnsi="David" w:cs="David"/>
          <w:sz w:val="24"/>
          <w:szCs w:val="24"/>
        </w:rPr>
      </w:pPr>
    </w:p>
    <w:p w:rsidR="001F1AA7" w:rsidRDefault="00EC4298" w:rsidP="001F1AA7">
      <w:pPr>
        <w:pStyle w:val="ad"/>
        <w:spacing w:before="240" w:line="360" w:lineRule="auto"/>
        <w:jc w:val="both"/>
        <w:rPr>
          <w:rFonts w:ascii="David" w:hAnsi="David" w:cs="David"/>
          <w:sz w:val="24"/>
          <w:szCs w:val="24"/>
          <w:rtl/>
        </w:rPr>
      </w:pPr>
      <w:r>
        <w:rPr>
          <w:rFonts w:ascii="David" w:hAnsi="David" w:cs="David" w:hint="cs"/>
          <w:sz w:val="24"/>
          <w:szCs w:val="24"/>
          <w:rtl/>
        </w:rPr>
        <w:t>עוד ל</w:t>
      </w:r>
      <w:r>
        <w:rPr>
          <w:rFonts w:ascii="David" w:hAnsi="David" w:cs="David"/>
          <w:sz w:val="24"/>
          <w:szCs w:val="24"/>
          <w:rtl/>
        </w:rPr>
        <w:t>טענ</w:t>
      </w:r>
      <w:r>
        <w:rPr>
          <w:rFonts w:ascii="David" w:hAnsi="David" w:cs="David" w:hint="cs"/>
          <w:sz w:val="24"/>
          <w:szCs w:val="24"/>
          <w:rtl/>
        </w:rPr>
        <w:t>ת</w:t>
      </w:r>
      <w:r w:rsidR="001F1AA7">
        <w:rPr>
          <w:rFonts w:ascii="David" w:hAnsi="David" w:cs="David"/>
          <w:sz w:val="24"/>
          <w:szCs w:val="24"/>
          <w:rtl/>
        </w:rPr>
        <w:t xml:space="preserve"> המבקשת</w:t>
      </w:r>
      <w:r w:rsidR="001F1AA7">
        <w:rPr>
          <w:rFonts w:ascii="David" w:hAnsi="David" w:cs="David" w:hint="cs"/>
          <w:sz w:val="24"/>
          <w:szCs w:val="24"/>
          <w:rtl/>
        </w:rPr>
        <w:t xml:space="preserve">, </w:t>
      </w:r>
      <w:r w:rsidR="009D1CBF">
        <w:rPr>
          <w:rFonts w:ascii="David" w:hAnsi="David" w:cs="David"/>
          <w:sz w:val="24"/>
          <w:szCs w:val="24"/>
          <w:rtl/>
        </w:rPr>
        <w:t xml:space="preserve">מועד תחילת החיוב </w:t>
      </w:r>
      <w:r w:rsidR="009D1CBF">
        <w:rPr>
          <w:rFonts w:ascii="David" w:hAnsi="David" w:cs="David" w:hint="cs"/>
          <w:sz w:val="24"/>
          <w:szCs w:val="24"/>
          <w:rtl/>
        </w:rPr>
        <w:t>אינו תואם</w:t>
      </w:r>
      <w:r w:rsidR="00082782">
        <w:rPr>
          <w:rFonts w:ascii="David" w:hAnsi="David" w:cs="David"/>
          <w:sz w:val="24"/>
          <w:szCs w:val="24"/>
          <w:rtl/>
        </w:rPr>
        <w:t xml:space="preserve"> את המועד הקבוע בדין וכי</w:t>
      </w:r>
      <w:r w:rsidR="00082782">
        <w:rPr>
          <w:rFonts w:ascii="David" w:hAnsi="David" w:cs="David"/>
          <w:sz w:val="24"/>
          <w:szCs w:val="24"/>
        </w:rPr>
        <w:t xml:space="preserve"> </w:t>
      </w:r>
      <w:r w:rsidR="001F1AA7">
        <w:rPr>
          <w:rFonts w:ascii="David" w:hAnsi="David" w:cs="David"/>
          <w:sz w:val="24"/>
          <w:szCs w:val="24"/>
          <w:rtl/>
        </w:rPr>
        <w:t>חלוף הזמן מבל</w:t>
      </w:r>
      <w:r w:rsidR="00082782">
        <w:rPr>
          <w:rFonts w:ascii="David" w:hAnsi="David" w:cs="David"/>
          <w:sz w:val="24"/>
          <w:szCs w:val="24"/>
          <w:rtl/>
        </w:rPr>
        <w:t>י שהתקיים אף דיון בנושא מרוקן מתוכן את תכלית המזונות הזמניים.</w:t>
      </w:r>
    </w:p>
    <w:p w:rsidR="00BC440E" w:rsidRPr="001F1AA7" w:rsidRDefault="00BC440E" w:rsidP="001F1AA7">
      <w:pPr>
        <w:pStyle w:val="ad"/>
        <w:spacing w:before="240" w:line="360" w:lineRule="auto"/>
        <w:jc w:val="both"/>
        <w:rPr>
          <w:rFonts w:ascii="David" w:hAnsi="David" w:cs="David"/>
          <w:sz w:val="24"/>
          <w:szCs w:val="24"/>
          <w:rtl/>
        </w:rPr>
      </w:pPr>
    </w:p>
    <w:p w:rsidR="00082782" w:rsidRDefault="001F1AA7" w:rsidP="00082782">
      <w:pPr>
        <w:pStyle w:val="ad"/>
        <w:numPr>
          <w:ilvl w:val="0"/>
          <w:numId w:val="1"/>
        </w:numPr>
        <w:spacing w:before="240" w:line="360" w:lineRule="auto"/>
        <w:jc w:val="both"/>
        <w:rPr>
          <w:rFonts w:ascii="David" w:hAnsi="David" w:cs="David"/>
          <w:sz w:val="24"/>
          <w:szCs w:val="24"/>
        </w:rPr>
      </w:pPr>
      <w:r>
        <w:rPr>
          <w:rFonts w:ascii="David" w:hAnsi="David" w:cs="David" w:hint="cs"/>
          <w:sz w:val="24"/>
          <w:szCs w:val="24"/>
          <w:rtl/>
        </w:rPr>
        <w:t xml:space="preserve">התבקשה תשובת המשיב וזו הוגשה </w:t>
      </w:r>
      <w:r>
        <w:rPr>
          <w:rFonts w:ascii="David" w:hAnsi="David" w:cs="David"/>
          <w:sz w:val="24"/>
          <w:szCs w:val="24"/>
          <w:rtl/>
        </w:rPr>
        <w:t>ב</w:t>
      </w:r>
      <w:r w:rsidR="00082782">
        <w:rPr>
          <w:rFonts w:ascii="David" w:hAnsi="David" w:cs="David"/>
          <w:sz w:val="24"/>
          <w:szCs w:val="24"/>
          <w:rtl/>
        </w:rPr>
        <w:t xml:space="preserve">יום 03.05.23, </w:t>
      </w:r>
      <w:r>
        <w:rPr>
          <w:rFonts w:ascii="David" w:hAnsi="David" w:cs="David" w:hint="cs"/>
          <w:sz w:val="24"/>
          <w:szCs w:val="24"/>
          <w:rtl/>
        </w:rPr>
        <w:t xml:space="preserve">בגדרה </w:t>
      </w:r>
      <w:r w:rsidR="00082782">
        <w:rPr>
          <w:rFonts w:ascii="David" w:hAnsi="David" w:cs="David"/>
          <w:sz w:val="24"/>
          <w:szCs w:val="24"/>
          <w:rtl/>
        </w:rPr>
        <w:t xml:space="preserve">טען כי החלטת </w:t>
      </w:r>
      <w:r w:rsidR="000413DB">
        <w:rPr>
          <w:rFonts w:ascii="David" w:hAnsi="David" w:cs="David"/>
          <w:sz w:val="24"/>
          <w:szCs w:val="24"/>
          <w:rtl/>
        </w:rPr>
        <w:t>בית המשפט</w:t>
      </w:r>
      <w:r w:rsidR="00082782">
        <w:rPr>
          <w:rFonts w:ascii="David" w:hAnsi="David" w:cs="David"/>
          <w:sz w:val="24"/>
          <w:szCs w:val="24"/>
          <w:rtl/>
        </w:rPr>
        <w:t xml:space="preserve"> קמא מעוגנת היטב בהוראו</w:t>
      </w:r>
      <w:r>
        <w:rPr>
          <w:rFonts w:ascii="David" w:hAnsi="David" w:cs="David"/>
          <w:sz w:val="24"/>
          <w:szCs w:val="24"/>
          <w:rtl/>
        </w:rPr>
        <w:t>ת החוק והפסיקה הנוהגת</w:t>
      </w:r>
      <w:r w:rsidR="009D1CBF">
        <w:rPr>
          <w:rFonts w:ascii="David" w:hAnsi="David" w:cs="David" w:hint="cs"/>
          <w:sz w:val="24"/>
          <w:szCs w:val="24"/>
          <w:rtl/>
        </w:rPr>
        <w:t>. לעמדתו,</w:t>
      </w:r>
      <w:r w:rsidR="009D1CBF">
        <w:rPr>
          <w:rFonts w:ascii="David" w:hAnsi="David" w:cs="David"/>
          <w:sz w:val="24"/>
          <w:szCs w:val="24"/>
          <w:rtl/>
        </w:rPr>
        <w:t xml:space="preserve"> </w:t>
      </w:r>
      <w:r w:rsidR="009D1CBF">
        <w:rPr>
          <w:rFonts w:ascii="David" w:hAnsi="David" w:cs="David" w:hint="cs"/>
          <w:sz w:val="24"/>
          <w:szCs w:val="24"/>
          <w:rtl/>
        </w:rPr>
        <w:t>בשים לב ל</w:t>
      </w:r>
      <w:r>
        <w:rPr>
          <w:rFonts w:ascii="David" w:hAnsi="David" w:cs="David"/>
          <w:sz w:val="24"/>
          <w:szCs w:val="24"/>
          <w:rtl/>
        </w:rPr>
        <w:t xml:space="preserve">שלב </w:t>
      </w:r>
      <w:r w:rsidR="009D1CBF">
        <w:rPr>
          <w:rFonts w:ascii="David" w:hAnsi="David" w:cs="David" w:hint="cs"/>
          <w:sz w:val="24"/>
          <w:szCs w:val="24"/>
          <w:rtl/>
        </w:rPr>
        <w:t>ה</w:t>
      </w:r>
      <w:r w:rsidR="00082782">
        <w:rPr>
          <w:rFonts w:ascii="David" w:hAnsi="David" w:cs="David"/>
          <w:sz w:val="24"/>
          <w:szCs w:val="24"/>
          <w:rtl/>
        </w:rPr>
        <w:t xml:space="preserve">מקדמי של ההליכים, </w:t>
      </w:r>
      <w:r w:rsidR="009D1CBF">
        <w:rPr>
          <w:rFonts w:ascii="David" w:hAnsi="David" w:cs="David" w:hint="cs"/>
          <w:sz w:val="24"/>
          <w:szCs w:val="24"/>
          <w:rtl/>
        </w:rPr>
        <w:t>ההחלטה הינה</w:t>
      </w:r>
      <w:r>
        <w:rPr>
          <w:rFonts w:ascii="David" w:hAnsi="David" w:cs="David" w:hint="cs"/>
          <w:sz w:val="24"/>
          <w:szCs w:val="24"/>
          <w:rtl/>
        </w:rPr>
        <w:t xml:space="preserve"> </w:t>
      </w:r>
      <w:r>
        <w:rPr>
          <w:rFonts w:ascii="David" w:hAnsi="David" w:cs="David"/>
          <w:sz w:val="24"/>
          <w:szCs w:val="24"/>
          <w:rtl/>
        </w:rPr>
        <w:t>סבירה ביותר ואי</w:t>
      </w:r>
      <w:r>
        <w:rPr>
          <w:rFonts w:ascii="David" w:hAnsi="David" w:cs="David" w:hint="cs"/>
          <w:sz w:val="24"/>
          <w:szCs w:val="24"/>
          <w:rtl/>
        </w:rPr>
        <w:t>ן להתערב בה</w:t>
      </w:r>
      <w:r w:rsidR="00082782">
        <w:rPr>
          <w:rFonts w:ascii="David" w:hAnsi="David" w:cs="David"/>
          <w:sz w:val="24"/>
          <w:szCs w:val="24"/>
          <w:rtl/>
        </w:rPr>
        <w:t xml:space="preserve">. לטענתו, המבקשת לא הרימה את הנטל המוטל על כתפיה להוכחת היקף מופרז של הוצאות הילדים, וממילא, פסיקת המזונות הזמניים אינה המועד המתאים לבירור העניין לעומקו. עוד טוען כי סכום המזונות מהווה נטל כלכלי כבד על כתפיו, </w:t>
      </w:r>
      <w:r w:rsidR="009D1CBF">
        <w:rPr>
          <w:rFonts w:ascii="David" w:hAnsi="David" w:cs="David" w:hint="cs"/>
          <w:sz w:val="24"/>
          <w:szCs w:val="24"/>
          <w:rtl/>
        </w:rPr>
        <w:t>כ</w:t>
      </w:r>
      <w:r w:rsidR="00082782">
        <w:rPr>
          <w:rFonts w:ascii="David" w:hAnsi="David" w:cs="David"/>
          <w:sz w:val="24"/>
          <w:szCs w:val="24"/>
          <w:rtl/>
        </w:rPr>
        <w:t xml:space="preserve">אשר הכנסתו עומדת על כ-10,416 ₪ ברוטו לחודש. </w:t>
      </w:r>
    </w:p>
    <w:p w:rsidR="00137A47" w:rsidRDefault="00082782" w:rsidP="00137A47">
      <w:pPr>
        <w:spacing w:before="240" w:line="360" w:lineRule="auto"/>
        <w:ind w:left="360"/>
        <w:jc w:val="both"/>
        <w:rPr>
          <w:rFonts w:ascii="David" w:hAnsi="David"/>
          <w:b/>
          <w:bCs/>
          <w:u w:val="single"/>
          <w:rtl/>
        </w:rPr>
      </w:pPr>
      <w:r>
        <w:rPr>
          <w:rFonts w:ascii="David" w:hAnsi="David"/>
          <w:b/>
          <w:bCs/>
          <w:u w:val="single"/>
          <w:rtl/>
        </w:rPr>
        <w:t>דיון והכרעה</w:t>
      </w:r>
    </w:p>
    <w:p w:rsidR="00EA55C5" w:rsidRPr="009A4B6F" w:rsidRDefault="00EA55C5" w:rsidP="009A4B6F">
      <w:pPr>
        <w:pStyle w:val="ad"/>
        <w:numPr>
          <w:ilvl w:val="0"/>
          <w:numId w:val="1"/>
        </w:numPr>
        <w:spacing w:line="360" w:lineRule="auto"/>
        <w:jc w:val="both"/>
        <w:rPr>
          <w:rFonts w:ascii="David" w:hAnsi="David" w:cs="David"/>
        </w:rPr>
      </w:pPr>
      <w:r w:rsidRPr="00EA55C5">
        <w:rPr>
          <w:rFonts w:ascii="David" w:hAnsi="David" w:cs="David"/>
          <w:rtl/>
        </w:rPr>
        <w:t>אמנם, עניינה של בקשת רשות הערעור שבפני היא החלטת ביניים של בית משפט, במסגרת קביעת חבותו של המבקש בדמי-מ</w:t>
      </w:r>
      <w:r w:rsidR="009A4B6F">
        <w:rPr>
          <w:rFonts w:ascii="David" w:hAnsi="David" w:cs="David"/>
          <w:rtl/>
        </w:rPr>
        <w:t>זונות זמניים עבור שלושת הקטינים</w:t>
      </w:r>
      <w:r w:rsidR="009A4B6F">
        <w:rPr>
          <w:rFonts w:ascii="David" w:hAnsi="David" w:cs="David" w:hint="cs"/>
          <w:rtl/>
        </w:rPr>
        <w:t xml:space="preserve"> שעה ש</w:t>
      </w:r>
      <w:r w:rsidR="009A4B6F">
        <w:rPr>
          <w:rFonts w:ascii="David" w:hAnsi="David" w:cs="David" w:hint="cs"/>
          <w:sz w:val="24"/>
          <w:szCs w:val="24"/>
          <w:rtl/>
        </w:rPr>
        <w:t>ב</w:t>
      </w:r>
      <w:r w:rsidRPr="009A4B6F">
        <w:rPr>
          <w:rFonts w:ascii="David" w:hAnsi="David" w:cs="David"/>
          <w:sz w:val="24"/>
          <w:szCs w:val="24"/>
          <w:rtl/>
        </w:rPr>
        <w:t>הלכה עקבית ורבת-שנים נקבע, כי התערבותה של ערכאת הערעור בסוגית מזונות זמניים תהא מצומצמת, וזאת אף בשים-לב לכך שמדובר בהחלטה זמנית, אשר אינה חורצת א</w:t>
      </w:r>
      <w:r w:rsidRPr="009A4B6F">
        <w:rPr>
          <w:rFonts w:ascii="David" w:hAnsi="David" w:cs="David" w:hint="cs"/>
          <w:sz w:val="24"/>
          <w:szCs w:val="24"/>
          <w:rtl/>
        </w:rPr>
        <w:t>ת</w:t>
      </w:r>
      <w:r w:rsidRPr="009A4B6F">
        <w:rPr>
          <w:rFonts w:ascii="David" w:hAnsi="David" w:cs="David"/>
          <w:sz w:val="24"/>
          <w:szCs w:val="24"/>
          <w:rtl/>
        </w:rPr>
        <w:t xml:space="preserve"> גורל התביעה כולה.</w:t>
      </w:r>
    </w:p>
    <w:p w:rsidR="00EA55C5" w:rsidRDefault="00EA55C5" w:rsidP="00EA55C5">
      <w:pPr>
        <w:pStyle w:val="ad"/>
        <w:spacing w:line="360" w:lineRule="auto"/>
        <w:jc w:val="both"/>
        <w:rPr>
          <w:rFonts w:ascii="David" w:hAnsi="David" w:cs="David"/>
          <w:sz w:val="24"/>
          <w:szCs w:val="24"/>
        </w:rPr>
      </w:pPr>
      <w:r>
        <w:rPr>
          <w:rFonts w:ascii="David" w:hAnsi="David" w:cs="David"/>
          <w:sz w:val="24"/>
          <w:szCs w:val="24"/>
          <w:rtl/>
        </w:rPr>
        <w:lastRenderedPageBreak/>
        <w:t xml:space="preserve">אפנה לדבריו של כב' השופט בדימוס, י. דנציגר ב-בע"מ 1326-12 </w:t>
      </w:r>
      <w:r>
        <w:rPr>
          <w:rFonts w:ascii="David" w:hAnsi="David" w:cs="David"/>
          <w:b/>
          <w:bCs/>
          <w:sz w:val="24"/>
          <w:szCs w:val="24"/>
          <w:rtl/>
        </w:rPr>
        <w:t>פלוני נ' פלונית</w:t>
      </w:r>
      <w:r>
        <w:rPr>
          <w:rFonts w:ascii="David" w:hAnsi="David" w:cs="David"/>
          <w:sz w:val="24"/>
          <w:szCs w:val="24"/>
          <w:rtl/>
        </w:rPr>
        <w:t xml:space="preserve"> (28.03.2012), פסקאות 5-6:</w:t>
      </w:r>
    </w:p>
    <w:p w:rsidR="00EA55C5" w:rsidRDefault="00EA55C5" w:rsidP="00EA55C5">
      <w:pPr>
        <w:pStyle w:val="Ruller4"/>
        <w:ind w:left="2160"/>
        <w:rPr>
          <w:rFonts w:ascii="David" w:hAnsi="David" w:cs="David"/>
          <w:b/>
          <w:bCs/>
          <w:sz w:val="24"/>
          <w:szCs w:val="24"/>
          <w:rtl/>
        </w:rPr>
      </w:pPr>
      <w:r>
        <w:rPr>
          <w:rFonts w:ascii="David" w:hAnsi="David" w:cs="David"/>
          <w:b/>
          <w:bCs/>
          <w:sz w:val="24"/>
          <w:szCs w:val="24"/>
          <w:rtl/>
        </w:rPr>
        <w:t xml:space="preserve">"פסיקת מזונות זמניים וגדר התערבותה של ערכאת הערעור בשיעור המזונות הזמניים שפסקה הערכאה הדיונית הן סוגיות המוסדרות היטב בהלכה הפסוקה ומשכך אין הבקשה מעלה כל שאלה משפטית עקרונית ומקרה זה מתמצה בנסיבותיו הקונקרטיות ובדל"ת אמותיהם של הצדדים....בבחינת למעלה מן הצורך, יצויין כי חרף העובדה שפסיקתה של הערכאה הדיונית בנושא מזונות זמניים אינה חסינה מפני התערבות ערעורית כפי שהטעים השופט </w:t>
      </w:r>
      <w:r>
        <w:rPr>
          <w:rFonts w:ascii="David" w:hAnsi="David" w:cs="David"/>
          <w:b/>
          <w:bCs/>
          <w:spacing w:val="0"/>
          <w:sz w:val="24"/>
          <w:szCs w:val="24"/>
          <w:rtl/>
        </w:rPr>
        <w:t>הנדל</w:t>
      </w:r>
      <w:r>
        <w:rPr>
          <w:rFonts w:ascii="David" w:hAnsi="David" w:cs="David"/>
          <w:b/>
          <w:bCs/>
          <w:sz w:val="24"/>
          <w:szCs w:val="24"/>
          <w:rtl/>
        </w:rPr>
        <w:t xml:space="preserve"> ב</w:t>
      </w:r>
      <w:hyperlink r:id="rId8" w:history="1">
        <w:r>
          <w:rPr>
            <w:rStyle w:val="Hyperlink"/>
            <w:rFonts w:ascii="David" w:hAnsi="David" w:cs="David"/>
            <w:b/>
            <w:bCs/>
            <w:sz w:val="24"/>
            <w:szCs w:val="24"/>
            <w:rtl/>
          </w:rPr>
          <w:t>בע"מ 1078/11</w:t>
        </w:r>
      </w:hyperlink>
      <w:r>
        <w:rPr>
          <w:rFonts w:ascii="David" w:hAnsi="David" w:cs="David"/>
          <w:b/>
          <w:bCs/>
          <w:sz w:val="24"/>
          <w:szCs w:val="24"/>
          <w:rtl/>
        </w:rPr>
        <w:t xml:space="preserve"> הנ"ל (כן ראו: החלטתו של השופט </w:t>
      </w:r>
      <w:r>
        <w:rPr>
          <w:rFonts w:ascii="David" w:hAnsi="David" w:cs="David"/>
          <w:b/>
          <w:bCs/>
          <w:spacing w:val="0"/>
          <w:sz w:val="24"/>
          <w:szCs w:val="24"/>
          <w:rtl/>
        </w:rPr>
        <w:t>א' רובינשטיין</w:t>
      </w:r>
      <w:r>
        <w:rPr>
          <w:rFonts w:ascii="David" w:hAnsi="David" w:cs="David"/>
          <w:b/>
          <w:bCs/>
          <w:sz w:val="24"/>
          <w:szCs w:val="24"/>
          <w:rtl/>
        </w:rPr>
        <w:t xml:space="preserve"> ב</w:t>
      </w:r>
      <w:hyperlink r:id="rId9" w:history="1">
        <w:r>
          <w:rPr>
            <w:rStyle w:val="Hyperlink"/>
            <w:rFonts w:ascii="David" w:hAnsi="David" w:cs="David"/>
            <w:b/>
            <w:bCs/>
            <w:sz w:val="24"/>
            <w:szCs w:val="24"/>
            <w:rtl/>
          </w:rPr>
          <w:t>בע"מ 3708/07</w:t>
        </w:r>
      </w:hyperlink>
      <w:r>
        <w:rPr>
          <w:rFonts w:ascii="David" w:hAnsi="David" w:cs="David"/>
          <w:b/>
          <w:bCs/>
          <w:sz w:val="24"/>
          <w:szCs w:val="24"/>
          <w:rtl/>
        </w:rPr>
        <w:t xml:space="preserve"> </w:t>
      </w:r>
      <w:r>
        <w:rPr>
          <w:rFonts w:ascii="David" w:hAnsi="David" w:cs="David"/>
          <w:b/>
          <w:bCs/>
          <w:spacing w:val="0"/>
          <w:sz w:val="24"/>
          <w:szCs w:val="24"/>
          <w:rtl/>
        </w:rPr>
        <w:t>פלוני נ' פלונית</w:t>
      </w:r>
      <w:r>
        <w:rPr>
          <w:rFonts w:ascii="David" w:hAnsi="David" w:cs="David"/>
          <w:b/>
          <w:bCs/>
          <w:sz w:val="24"/>
          <w:szCs w:val="24"/>
          <w:rtl/>
        </w:rPr>
        <w:t xml:space="preserve"> (לא פורסם, 2.8.2007), פסקה ד'), שומה על בתי המשפט המחוזיים לדבוק בכלל שהתגבש בהלכה הפסוקה לפיו התערבות בפסיקת מזונות זמניים על ידי הערכאה הדיונית תתאפשר במקרים חריגים ויוצאי דופן בלבד. קרי אי התערבות היא הכלל ואילו התערבות היא החריג לכלל שיש להפעילו במשורה ובצמצום. הדיון במזונות הזמניים בערכאה המבררת נערך בשלב ראשוני בו טרם נשמעו ראיות ומדובר בסעד זמני המבוסס על ראיות לכאוריות בלבד [ראו למשל: החלטתו של השופט </w:t>
      </w:r>
      <w:r>
        <w:rPr>
          <w:rFonts w:ascii="David" w:hAnsi="David" w:cs="David"/>
          <w:b/>
          <w:bCs/>
          <w:spacing w:val="0"/>
          <w:sz w:val="24"/>
          <w:szCs w:val="24"/>
          <w:rtl/>
        </w:rPr>
        <w:t>י' זמיר</w:t>
      </w:r>
      <w:r>
        <w:rPr>
          <w:rFonts w:ascii="David" w:hAnsi="David" w:cs="David"/>
          <w:b/>
          <w:bCs/>
          <w:sz w:val="24"/>
          <w:szCs w:val="24"/>
          <w:rtl/>
        </w:rPr>
        <w:t xml:space="preserve"> ב</w:t>
      </w:r>
      <w:hyperlink r:id="rId10" w:history="1">
        <w:r>
          <w:rPr>
            <w:rStyle w:val="Hyperlink"/>
            <w:rFonts w:ascii="David" w:hAnsi="David" w:cs="David"/>
            <w:b/>
            <w:bCs/>
            <w:sz w:val="24"/>
            <w:szCs w:val="24"/>
            <w:rtl/>
          </w:rPr>
          <w:t>ע"א 2398/97</w:t>
        </w:r>
      </w:hyperlink>
      <w:r>
        <w:rPr>
          <w:rFonts w:ascii="David" w:hAnsi="David" w:cs="David"/>
          <w:b/>
          <w:bCs/>
          <w:color w:val="000000"/>
          <w:sz w:val="24"/>
          <w:szCs w:val="24"/>
          <w:rtl/>
        </w:rPr>
        <w:t xml:space="preserve"> אייל נ' אייל, פ"ד נא</w:t>
      </w:r>
      <w:r>
        <w:rPr>
          <w:rFonts w:ascii="David" w:hAnsi="David" w:cs="David"/>
          <w:b/>
          <w:bCs/>
          <w:sz w:val="24"/>
          <w:szCs w:val="24"/>
          <w:rtl/>
        </w:rPr>
        <w:t xml:space="preserve">(5) 608, 614 (1997)]. משכך, שומה על בתי המשפט המחוזיים להימנע מהתערבות בקביעתם של בתי המשפט לענייני משפחה בדבר שיעור המזונות הזמניים אלא אם אכן מדובר במקרה חריג ויוצא דופן". </w:t>
      </w:r>
    </w:p>
    <w:p w:rsidR="00EA55C5" w:rsidRDefault="00EA55C5" w:rsidP="00EA55C5">
      <w:pPr>
        <w:pStyle w:val="Ruller4"/>
        <w:ind w:left="2160"/>
        <w:rPr>
          <w:rFonts w:ascii="David" w:hAnsi="David" w:cs="David"/>
          <w:b/>
          <w:bCs/>
          <w:sz w:val="24"/>
          <w:szCs w:val="24"/>
          <w:rtl/>
        </w:rPr>
      </w:pPr>
    </w:p>
    <w:p w:rsidR="00EA55C5" w:rsidRDefault="00EA55C5" w:rsidP="00EA55C5">
      <w:pPr>
        <w:pStyle w:val="ad"/>
        <w:spacing w:line="360" w:lineRule="auto"/>
        <w:jc w:val="both"/>
        <w:rPr>
          <w:rFonts w:ascii="David" w:hAnsi="David" w:cs="David"/>
          <w:sz w:val="24"/>
          <w:szCs w:val="24"/>
          <w:rtl/>
        </w:rPr>
      </w:pPr>
      <w:r>
        <w:rPr>
          <w:rFonts w:ascii="David" w:hAnsi="David" w:cs="David"/>
          <w:sz w:val="24"/>
          <w:szCs w:val="24"/>
          <w:rtl/>
        </w:rPr>
        <w:t xml:space="preserve">הגם, שהלכת בית המשפט העליון קובעת, </w:t>
      </w:r>
      <w:r>
        <w:rPr>
          <w:rFonts w:ascii="David" w:hAnsi="David" w:cs="David"/>
          <w:b/>
          <w:bCs/>
          <w:sz w:val="24"/>
          <w:szCs w:val="24"/>
          <w:rtl/>
        </w:rPr>
        <w:t>"שפסיקתה של הערכאה הדיונית בנושא מזונות זמניים אינה חסינה מפני התערבות ערעורית",</w:t>
      </w:r>
      <w:r>
        <w:rPr>
          <w:rFonts w:ascii="David" w:hAnsi="David" w:cs="David"/>
          <w:sz w:val="24"/>
          <w:szCs w:val="24"/>
          <w:rtl/>
        </w:rPr>
        <w:t xml:space="preserve"> היא עומדת במקביל על הצורך בהימנעות ערכאת הערעור מהתערבות בקביעות בתי המשפט לענייני משפחה באשר לגובה דמי-המזונות הזמניים, אלא במקרים יוצאי-דופן.</w:t>
      </w:r>
    </w:p>
    <w:p w:rsidR="00BC440E" w:rsidRPr="00EA55C5" w:rsidRDefault="00BC440E" w:rsidP="00EA55C5">
      <w:pPr>
        <w:pStyle w:val="ad"/>
        <w:spacing w:line="360" w:lineRule="auto"/>
        <w:jc w:val="both"/>
        <w:rPr>
          <w:rFonts w:ascii="David" w:hAnsi="David" w:cs="David"/>
          <w:sz w:val="24"/>
          <w:szCs w:val="24"/>
        </w:rPr>
      </w:pPr>
    </w:p>
    <w:p w:rsidR="0016120F" w:rsidRDefault="00082782" w:rsidP="00111600">
      <w:pPr>
        <w:pStyle w:val="ad"/>
        <w:numPr>
          <w:ilvl w:val="0"/>
          <w:numId w:val="1"/>
        </w:numPr>
        <w:spacing w:line="360" w:lineRule="auto"/>
        <w:jc w:val="both"/>
        <w:rPr>
          <w:rFonts w:ascii="David" w:hAnsi="David" w:cs="David"/>
          <w:sz w:val="24"/>
          <w:szCs w:val="24"/>
        </w:rPr>
      </w:pPr>
      <w:r>
        <w:rPr>
          <w:rFonts w:ascii="David" w:hAnsi="David" w:cs="David"/>
          <w:sz w:val="24"/>
          <w:szCs w:val="24"/>
          <w:rtl/>
        </w:rPr>
        <w:t>לאחר קריאה מעמיקה של בקשת רשות הערעור על נספחיה</w:t>
      </w:r>
      <w:r w:rsidR="0016120F">
        <w:rPr>
          <w:rFonts w:ascii="David" w:hAnsi="David" w:cs="David" w:hint="cs"/>
          <w:sz w:val="24"/>
          <w:szCs w:val="24"/>
          <w:rtl/>
        </w:rPr>
        <w:t>, של תשובת המשיב</w:t>
      </w:r>
      <w:r>
        <w:rPr>
          <w:rFonts w:ascii="David" w:hAnsi="David" w:cs="David"/>
          <w:sz w:val="24"/>
          <w:szCs w:val="24"/>
          <w:rtl/>
        </w:rPr>
        <w:t xml:space="preserve"> ושל תיק בית משפט קמא מצאת</w:t>
      </w:r>
      <w:r w:rsidR="001F1AA7">
        <w:rPr>
          <w:rFonts w:ascii="David" w:hAnsi="David" w:cs="David"/>
          <w:sz w:val="24"/>
          <w:szCs w:val="24"/>
          <w:rtl/>
        </w:rPr>
        <w:t>י</w:t>
      </w:r>
      <w:r w:rsidR="001F1AA7">
        <w:rPr>
          <w:rFonts w:ascii="David" w:hAnsi="David" w:cs="David" w:hint="cs"/>
          <w:sz w:val="24"/>
          <w:szCs w:val="24"/>
          <w:rtl/>
        </w:rPr>
        <w:t xml:space="preserve"> לדון בבקשה כבערעור, ולקבל את הערעור באופן חלקי, </w:t>
      </w:r>
      <w:r w:rsidR="0016120F">
        <w:rPr>
          <w:rFonts w:ascii="David" w:hAnsi="David" w:cs="David" w:hint="cs"/>
          <w:sz w:val="24"/>
          <w:szCs w:val="24"/>
          <w:rtl/>
        </w:rPr>
        <w:t xml:space="preserve">זאת בעיקר משום חלוף הזמן הרב מיום שהוגשה התביעה, </w:t>
      </w:r>
      <w:r w:rsidR="005647FC">
        <w:rPr>
          <w:rFonts w:ascii="David" w:hAnsi="David" w:cs="David" w:hint="cs"/>
          <w:sz w:val="24"/>
          <w:szCs w:val="24"/>
          <w:rtl/>
        </w:rPr>
        <w:t xml:space="preserve">המועד שבו </w:t>
      </w:r>
      <w:r w:rsidR="00111600">
        <w:rPr>
          <w:rFonts w:ascii="David" w:hAnsi="David" w:cs="David" w:hint="cs"/>
          <w:sz w:val="24"/>
          <w:szCs w:val="24"/>
          <w:rtl/>
        </w:rPr>
        <w:t>ניתנה</w:t>
      </w:r>
      <w:r w:rsidR="0016120F">
        <w:rPr>
          <w:rFonts w:ascii="David" w:hAnsi="David" w:cs="David" w:hint="cs"/>
          <w:sz w:val="24"/>
          <w:szCs w:val="24"/>
          <w:rtl/>
        </w:rPr>
        <w:t xml:space="preserve"> </w:t>
      </w:r>
      <w:r w:rsidR="00111600">
        <w:rPr>
          <w:rFonts w:ascii="David" w:hAnsi="David" w:cs="David" w:hint="cs"/>
          <w:sz w:val="24"/>
          <w:szCs w:val="24"/>
          <w:rtl/>
        </w:rPr>
        <w:t>ה</w:t>
      </w:r>
      <w:r w:rsidR="0016120F">
        <w:rPr>
          <w:rFonts w:ascii="David" w:hAnsi="David" w:cs="David" w:hint="cs"/>
          <w:sz w:val="24"/>
          <w:szCs w:val="24"/>
          <w:rtl/>
        </w:rPr>
        <w:t xml:space="preserve">החלטה למזונות </w:t>
      </w:r>
      <w:r w:rsidR="0016120F">
        <w:rPr>
          <w:rFonts w:ascii="David" w:hAnsi="David" w:cs="David" w:hint="cs"/>
          <w:sz w:val="24"/>
          <w:szCs w:val="24"/>
          <w:rtl/>
        </w:rPr>
        <w:lastRenderedPageBreak/>
        <w:t>טרום זמניים, מבלי שבית משפט קמא בחן שיעור המזונות הזמניים על יסוד הרצאות פרט</w:t>
      </w:r>
      <w:r w:rsidR="005647FC">
        <w:rPr>
          <w:rFonts w:ascii="David" w:hAnsi="David" w:cs="David" w:hint="cs"/>
          <w:sz w:val="24"/>
          <w:szCs w:val="24"/>
          <w:rtl/>
        </w:rPr>
        <w:t>ים ונתוני הכנסה לרבות תדפיסי חשבון</w:t>
      </w:r>
      <w:r w:rsidR="00111600">
        <w:rPr>
          <w:rFonts w:ascii="David" w:hAnsi="David" w:cs="David" w:hint="cs"/>
          <w:sz w:val="24"/>
          <w:szCs w:val="24"/>
          <w:rtl/>
        </w:rPr>
        <w:t xml:space="preserve"> </w:t>
      </w:r>
      <w:r w:rsidR="00111600" w:rsidRPr="00C5574B">
        <w:rPr>
          <w:rFonts w:ascii="David" w:hAnsi="David" w:cs="David" w:hint="cs"/>
          <w:b/>
          <w:bCs/>
          <w:sz w:val="24"/>
          <w:szCs w:val="24"/>
          <w:rtl/>
        </w:rPr>
        <w:t>עדכניים</w:t>
      </w:r>
      <w:r w:rsidR="00C5574B" w:rsidRPr="00C5574B">
        <w:rPr>
          <w:rFonts w:ascii="David" w:hAnsi="David" w:cs="David" w:hint="cs"/>
          <w:b/>
          <w:bCs/>
          <w:sz w:val="24"/>
          <w:szCs w:val="24"/>
          <w:rtl/>
        </w:rPr>
        <w:t xml:space="preserve"> ומלאים, אף נכון למועד בו ניתנה</w:t>
      </w:r>
      <w:r w:rsidR="00C5574B">
        <w:rPr>
          <w:rFonts w:ascii="David" w:hAnsi="David" w:cs="David" w:hint="cs"/>
          <w:sz w:val="24"/>
          <w:szCs w:val="24"/>
          <w:rtl/>
        </w:rPr>
        <w:t>.</w:t>
      </w:r>
    </w:p>
    <w:p w:rsidR="00BC440E" w:rsidRPr="0016120F" w:rsidRDefault="00BC440E" w:rsidP="00BC440E">
      <w:pPr>
        <w:pStyle w:val="ad"/>
        <w:spacing w:line="360" w:lineRule="auto"/>
        <w:jc w:val="both"/>
        <w:rPr>
          <w:rFonts w:ascii="David" w:hAnsi="David" w:cs="David"/>
          <w:sz w:val="24"/>
          <w:szCs w:val="24"/>
        </w:rPr>
      </w:pPr>
    </w:p>
    <w:p w:rsidR="00082782" w:rsidRDefault="0016120F" w:rsidP="00EA55C5">
      <w:pPr>
        <w:pStyle w:val="ad"/>
        <w:numPr>
          <w:ilvl w:val="0"/>
          <w:numId w:val="1"/>
        </w:numPr>
        <w:spacing w:line="360" w:lineRule="auto"/>
        <w:jc w:val="both"/>
        <w:rPr>
          <w:rFonts w:ascii="David" w:hAnsi="David" w:cs="David"/>
          <w:sz w:val="24"/>
          <w:szCs w:val="24"/>
        </w:rPr>
      </w:pPr>
      <w:r>
        <w:rPr>
          <w:rFonts w:ascii="David" w:hAnsi="David" w:cs="David" w:hint="cs"/>
          <w:sz w:val="24"/>
          <w:szCs w:val="24"/>
          <w:rtl/>
        </w:rPr>
        <w:t xml:space="preserve">ודוק: </w:t>
      </w:r>
      <w:r w:rsidR="00961BA8">
        <w:rPr>
          <w:rFonts w:ascii="David" w:hAnsi="David" w:cs="David" w:hint="cs"/>
          <w:sz w:val="24"/>
          <w:szCs w:val="24"/>
          <w:rtl/>
        </w:rPr>
        <w:t xml:space="preserve">מאז נפסקו </w:t>
      </w:r>
      <w:r>
        <w:rPr>
          <w:rFonts w:ascii="David" w:hAnsi="David" w:cs="David" w:hint="cs"/>
          <w:sz w:val="24"/>
          <w:szCs w:val="24"/>
          <w:rtl/>
        </w:rPr>
        <w:t>המזונות הזמניים</w:t>
      </w:r>
      <w:r w:rsidR="009A4B6F">
        <w:rPr>
          <w:rFonts w:ascii="David" w:hAnsi="David" w:cs="David" w:hint="cs"/>
          <w:sz w:val="24"/>
          <w:szCs w:val="24"/>
          <w:rtl/>
        </w:rPr>
        <w:t>, ונראה כי נכון יותר להתייחס אליהם כאל "טרום זמניים", כמתחייב מהחלטת בית משפט קמא מיום 03.09.2021 בגדרה נפסקו,</w:t>
      </w:r>
      <w:r w:rsidR="00961BA8">
        <w:rPr>
          <w:rFonts w:ascii="David" w:hAnsi="David" w:cs="David" w:hint="cs"/>
          <w:sz w:val="24"/>
          <w:szCs w:val="24"/>
          <w:rtl/>
        </w:rPr>
        <w:t xml:space="preserve"> חלפה למעלה משנה וחצי, ומעל</w:t>
      </w:r>
      <w:r w:rsidR="005647FC">
        <w:rPr>
          <w:rFonts w:ascii="David" w:hAnsi="David" w:cs="David" w:hint="cs"/>
          <w:sz w:val="24"/>
          <w:szCs w:val="24"/>
          <w:rtl/>
        </w:rPr>
        <w:t xml:space="preserve"> לשלוש</w:t>
      </w:r>
      <w:r w:rsidR="00961BA8">
        <w:rPr>
          <w:rFonts w:ascii="David" w:hAnsi="David" w:cs="David" w:hint="cs"/>
          <w:sz w:val="24"/>
          <w:szCs w:val="24"/>
          <w:rtl/>
        </w:rPr>
        <w:t xml:space="preserve"> </w:t>
      </w:r>
      <w:r w:rsidR="00C5574B">
        <w:rPr>
          <w:rFonts w:ascii="David" w:hAnsi="David" w:cs="David" w:hint="cs"/>
          <w:sz w:val="24"/>
          <w:szCs w:val="24"/>
          <w:rtl/>
        </w:rPr>
        <w:t xml:space="preserve">שנים </w:t>
      </w:r>
      <w:r w:rsidR="00961BA8">
        <w:rPr>
          <w:rFonts w:ascii="David" w:hAnsi="David" w:cs="David" w:hint="cs"/>
          <w:sz w:val="24"/>
          <w:szCs w:val="24"/>
          <w:rtl/>
        </w:rPr>
        <w:t xml:space="preserve">מיום הגשת התביעה, </w:t>
      </w:r>
      <w:r w:rsidR="005647FC">
        <w:rPr>
          <w:rFonts w:ascii="David" w:hAnsi="David" w:cs="David" w:hint="cs"/>
          <w:sz w:val="24"/>
          <w:szCs w:val="24"/>
          <w:rtl/>
        </w:rPr>
        <w:t>כש</w:t>
      </w:r>
      <w:r w:rsidR="00961BA8">
        <w:rPr>
          <w:rFonts w:ascii="David" w:hAnsi="David" w:cs="David" w:hint="cs"/>
          <w:sz w:val="24"/>
          <w:szCs w:val="24"/>
          <w:rtl/>
        </w:rPr>
        <w:t xml:space="preserve">בית </w:t>
      </w:r>
      <w:r>
        <w:rPr>
          <w:rFonts w:ascii="David" w:hAnsi="David" w:cs="David" w:hint="cs"/>
          <w:sz w:val="24"/>
          <w:szCs w:val="24"/>
          <w:rtl/>
        </w:rPr>
        <w:t>משפט</w:t>
      </w:r>
      <w:r w:rsidR="00961BA8">
        <w:rPr>
          <w:rFonts w:ascii="David" w:hAnsi="David" w:cs="David" w:hint="cs"/>
          <w:sz w:val="24"/>
          <w:szCs w:val="24"/>
          <w:rtl/>
        </w:rPr>
        <w:t xml:space="preserve"> קמא</w:t>
      </w:r>
      <w:r w:rsidR="005A5E9B">
        <w:rPr>
          <w:rFonts w:ascii="David" w:hAnsi="David" w:cs="David" w:hint="cs"/>
          <w:sz w:val="24"/>
          <w:szCs w:val="24"/>
          <w:rtl/>
        </w:rPr>
        <w:t xml:space="preserve"> ציין </w:t>
      </w:r>
      <w:r>
        <w:rPr>
          <w:rFonts w:ascii="David" w:hAnsi="David" w:cs="David" w:hint="cs"/>
          <w:sz w:val="24"/>
          <w:szCs w:val="24"/>
          <w:rtl/>
        </w:rPr>
        <w:t xml:space="preserve">כי מזונות זמניים ייפסקו לאחר קיום דיון במעמד הצדדים, </w:t>
      </w:r>
      <w:r w:rsidR="005647FC">
        <w:rPr>
          <w:rFonts w:ascii="David" w:hAnsi="David" w:cs="David" w:hint="cs"/>
          <w:sz w:val="24"/>
          <w:szCs w:val="24"/>
          <w:rtl/>
        </w:rPr>
        <w:t xml:space="preserve">זה שהיה אמור להתקיים </w:t>
      </w:r>
      <w:r w:rsidR="001A7F0C">
        <w:rPr>
          <w:rFonts w:ascii="David" w:hAnsi="David" w:cs="David" w:hint="cs"/>
          <w:sz w:val="24"/>
          <w:szCs w:val="24"/>
          <w:rtl/>
        </w:rPr>
        <w:t xml:space="preserve">ביום </w:t>
      </w:r>
      <w:r w:rsidR="00961BA8">
        <w:rPr>
          <w:rFonts w:ascii="David" w:hAnsi="David" w:cs="David" w:hint="cs"/>
          <w:sz w:val="24"/>
          <w:szCs w:val="24"/>
          <w:rtl/>
        </w:rPr>
        <w:t>07.02.2022. אלא שמועד אחרון</w:t>
      </w:r>
      <w:r w:rsidR="001A7F0C">
        <w:rPr>
          <w:rFonts w:ascii="David" w:hAnsi="David" w:cs="David" w:hint="cs"/>
          <w:sz w:val="24"/>
          <w:szCs w:val="24"/>
          <w:rtl/>
        </w:rPr>
        <w:t xml:space="preserve"> זה נדחה </w:t>
      </w:r>
      <w:r w:rsidR="00961BA8">
        <w:rPr>
          <w:rFonts w:ascii="David" w:hAnsi="David" w:cs="David" w:hint="cs"/>
          <w:sz w:val="24"/>
          <w:szCs w:val="24"/>
          <w:rtl/>
        </w:rPr>
        <w:t>ליום 16.06.2022, וכאמור בדיון שהתקיים</w:t>
      </w:r>
      <w:r w:rsidR="001A7F0C">
        <w:rPr>
          <w:rFonts w:ascii="David" w:hAnsi="David" w:cs="David" w:hint="cs"/>
          <w:sz w:val="24"/>
          <w:szCs w:val="24"/>
          <w:rtl/>
        </w:rPr>
        <w:t xml:space="preserve"> הופנו הצדדים לגיש</w:t>
      </w:r>
      <w:r w:rsidR="008B219F">
        <w:rPr>
          <w:rFonts w:ascii="David" w:hAnsi="David" w:cs="David" w:hint="cs"/>
          <w:sz w:val="24"/>
          <w:szCs w:val="24"/>
          <w:rtl/>
        </w:rPr>
        <w:t>ור, מבלי שהמזונות הזמניים נבחנו על יסוד נתונים יותר מדוייקים אותם ניתן לקבל באמצעות אסמכתאות</w:t>
      </w:r>
      <w:r w:rsidR="005A5E9B">
        <w:rPr>
          <w:rFonts w:ascii="David" w:hAnsi="David" w:cs="David" w:hint="cs"/>
          <w:sz w:val="24"/>
          <w:szCs w:val="24"/>
          <w:rtl/>
        </w:rPr>
        <w:t xml:space="preserve"> אשר </w:t>
      </w:r>
      <w:r w:rsidR="005647FC">
        <w:rPr>
          <w:rFonts w:ascii="David" w:hAnsi="David" w:cs="David" w:hint="cs"/>
          <w:sz w:val="24"/>
          <w:szCs w:val="24"/>
          <w:rtl/>
        </w:rPr>
        <w:t>בכוחן לספק מידע יותר מהימן, לעומת זה הנשען על טענות</w:t>
      </w:r>
      <w:r w:rsidR="007D7B46">
        <w:rPr>
          <w:rFonts w:ascii="David" w:hAnsi="David" w:cs="David" w:hint="cs"/>
          <w:sz w:val="24"/>
          <w:szCs w:val="24"/>
          <w:rtl/>
        </w:rPr>
        <w:t xml:space="preserve"> הצדדים בלבד.</w:t>
      </w:r>
    </w:p>
    <w:p w:rsidR="00BC440E" w:rsidRDefault="00BC440E" w:rsidP="00BC440E">
      <w:pPr>
        <w:pStyle w:val="ad"/>
        <w:spacing w:line="360" w:lineRule="auto"/>
        <w:jc w:val="both"/>
        <w:rPr>
          <w:rFonts w:ascii="David" w:hAnsi="David" w:cs="David"/>
          <w:sz w:val="24"/>
          <w:szCs w:val="24"/>
          <w:rtl/>
        </w:rPr>
      </w:pPr>
    </w:p>
    <w:p w:rsidR="00A5367F" w:rsidRDefault="00111600" w:rsidP="00111600">
      <w:pPr>
        <w:pStyle w:val="ad"/>
        <w:numPr>
          <w:ilvl w:val="0"/>
          <w:numId w:val="1"/>
        </w:numPr>
        <w:spacing w:line="360" w:lineRule="auto"/>
        <w:jc w:val="both"/>
        <w:rPr>
          <w:rFonts w:ascii="David" w:hAnsi="David" w:cs="David"/>
          <w:sz w:val="24"/>
          <w:szCs w:val="24"/>
        </w:rPr>
      </w:pPr>
      <w:r>
        <w:rPr>
          <w:rFonts w:ascii="David" w:hAnsi="David" w:cs="David" w:hint="cs"/>
          <w:sz w:val="24"/>
          <w:szCs w:val="24"/>
          <w:rtl/>
        </w:rPr>
        <w:t xml:space="preserve">אכן, </w:t>
      </w:r>
      <w:r w:rsidR="007D7B46">
        <w:rPr>
          <w:rFonts w:ascii="David" w:hAnsi="David" w:cs="David" w:hint="cs"/>
          <w:sz w:val="24"/>
          <w:szCs w:val="24"/>
          <w:rtl/>
        </w:rPr>
        <w:t xml:space="preserve">צודק בית משפט קמא בקביעתו כי מזונות זמניים נפסקים על יסוד ראיות לכאורה, כשהבירור המעמיק ייעשה בשלב שמיעת הראיות ומתן פסק-הדין. לצד זאת, שעה שההחלטה על מזונות זמניים </w:t>
      </w:r>
      <w:r w:rsidR="00C5574B">
        <w:rPr>
          <w:rFonts w:ascii="David" w:hAnsi="David" w:cs="David" w:hint="cs"/>
          <w:sz w:val="24"/>
          <w:szCs w:val="24"/>
          <w:rtl/>
        </w:rPr>
        <w:t>ניתנה</w:t>
      </w:r>
      <w:r w:rsidR="00A5367F">
        <w:rPr>
          <w:rFonts w:ascii="David" w:hAnsi="David" w:cs="David" w:hint="cs"/>
          <w:sz w:val="24"/>
          <w:szCs w:val="24"/>
          <w:rtl/>
        </w:rPr>
        <w:t xml:space="preserve"> בנסיבות שפירטתי לעיל, כ</w:t>
      </w:r>
      <w:r w:rsidR="007D7B46">
        <w:rPr>
          <w:rFonts w:ascii="David" w:hAnsi="David" w:cs="David" w:hint="cs"/>
          <w:sz w:val="24"/>
          <w:szCs w:val="24"/>
          <w:rtl/>
        </w:rPr>
        <w:t>שבית משפט מ</w:t>
      </w:r>
      <w:r w:rsidR="005A5E9B">
        <w:rPr>
          <w:rFonts w:ascii="David" w:hAnsi="David" w:cs="David" w:hint="cs"/>
          <w:sz w:val="24"/>
          <w:szCs w:val="24"/>
          <w:rtl/>
        </w:rPr>
        <w:t>ודיע כי בכוונתו לשוב ולהידרש להם מחדש במועד קרוב, ו</w:t>
      </w:r>
      <w:r w:rsidR="007D7B46">
        <w:rPr>
          <w:rFonts w:ascii="David" w:hAnsi="David" w:cs="David" w:hint="cs"/>
          <w:sz w:val="24"/>
          <w:szCs w:val="24"/>
          <w:rtl/>
        </w:rPr>
        <w:t>כי הם נפסקו "במהלך תורנות"</w:t>
      </w:r>
      <w:r w:rsidR="00C5574B">
        <w:rPr>
          <w:rFonts w:ascii="David" w:hAnsi="David" w:cs="David" w:hint="cs"/>
          <w:sz w:val="24"/>
          <w:szCs w:val="24"/>
          <w:rtl/>
        </w:rPr>
        <w:t xml:space="preserve">, </w:t>
      </w:r>
      <w:r w:rsidR="00BC440E">
        <w:rPr>
          <w:rFonts w:ascii="David" w:hAnsi="David" w:cs="David" w:hint="cs"/>
          <w:sz w:val="24"/>
          <w:szCs w:val="24"/>
          <w:rtl/>
        </w:rPr>
        <w:t>כ</w:t>
      </w:r>
      <w:r w:rsidR="00C5574B">
        <w:rPr>
          <w:rFonts w:ascii="David" w:hAnsi="David" w:cs="David" w:hint="cs"/>
          <w:sz w:val="24"/>
          <w:szCs w:val="24"/>
          <w:rtl/>
        </w:rPr>
        <w:t>שלצד כל האמור</w:t>
      </w:r>
      <w:r w:rsidR="00A5367F">
        <w:rPr>
          <w:rFonts w:ascii="David" w:hAnsi="David" w:cs="David" w:hint="cs"/>
          <w:sz w:val="24"/>
          <w:szCs w:val="24"/>
          <w:rtl/>
        </w:rPr>
        <w:t xml:space="preserve"> </w:t>
      </w:r>
      <w:r w:rsidR="007D7B46">
        <w:rPr>
          <w:rFonts w:ascii="David" w:hAnsi="David" w:cs="David" w:hint="cs"/>
          <w:sz w:val="24"/>
          <w:szCs w:val="24"/>
          <w:rtl/>
        </w:rPr>
        <w:t>סיום התיק ו</w:t>
      </w:r>
      <w:r w:rsidR="00A5367F">
        <w:rPr>
          <w:rFonts w:ascii="David" w:hAnsi="David" w:cs="David" w:hint="cs"/>
          <w:sz w:val="24"/>
          <w:szCs w:val="24"/>
          <w:rtl/>
        </w:rPr>
        <w:t>מתן פסק-דין עדין אינו מתאפשר</w:t>
      </w:r>
      <w:r w:rsidR="007D7B46">
        <w:rPr>
          <w:rFonts w:ascii="David" w:hAnsi="David" w:cs="David" w:hint="cs"/>
          <w:sz w:val="24"/>
          <w:szCs w:val="24"/>
          <w:rtl/>
        </w:rPr>
        <w:t>, יש להימנע</w:t>
      </w:r>
      <w:r w:rsidR="00A5367F">
        <w:rPr>
          <w:rFonts w:ascii="David" w:hAnsi="David" w:cs="David" w:hint="cs"/>
          <w:sz w:val="24"/>
          <w:szCs w:val="24"/>
          <w:rtl/>
        </w:rPr>
        <w:t xml:space="preserve"> מלהותיר את המזונות "הטרום זמניים"</w:t>
      </w:r>
      <w:r w:rsidR="00563561">
        <w:rPr>
          <w:rFonts w:ascii="David" w:hAnsi="David" w:cs="David" w:hint="cs"/>
          <w:sz w:val="24"/>
          <w:szCs w:val="24"/>
          <w:rtl/>
        </w:rPr>
        <w:t xml:space="preserve"> כאבן שאין לה הופכין,</w:t>
      </w:r>
      <w:r w:rsidR="00A5367F">
        <w:rPr>
          <w:rFonts w:ascii="David" w:hAnsi="David" w:cs="David" w:hint="cs"/>
          <w:sz w:val="24"/>
          <w:szCs w:val="24"/>
          <w:rtl/>
        </w:rPr>
        <w:t xml:space="preserve"> מבלי שנבחנו פעם נוספת, </w:t>
      </w:r>
      <w:r>
        <w:rPr>
          <w:rFonts w:ascii="David" w:hAnsi="David" w:cs="David" w:hint="cs"/>
          <w:sz w:val="24"/>
          <w:szCs w:val="24"/>
          <w:rtl/>
        </w:rPr>
        <w:t xml:space="preserve">שמא בכך יצא צד הנמנע מהצגת נתונים </w:t>
      </w:r>
      <w:r w:rsidR="005A5E9B">
        <w:rPr>
          <w:rFonts w:ascii="David" w:hAnsi="David" w:cs="David" w:hint="cs"/>
          <w:sz w:val="24"/>
          <w:szCs w:val="24"/>
          <w:rtl/>
        </w:rPr>
        <w:t xml:space="preserve">חלקיים </w:t>
      </w:r>
      <w:r>
        <w:rPr>
          <w:rFonts w:ascii="David" w:hAnsi="David" w:cs="David" w:hint="cs"/>
          <w:sz w:val="24"/>
          <w:szCs w:val="24"/>
          <w:rtl/>
        </w:rPr>
        <w:t>בעניין יכולתו הכלכלית נשכר מאותה התנהלות, ומ</w:t>
      </w:r>
      <w:r w:rsidR="00C25EB3">
        <w:rPr>
          <w:rFonts w:ascii="David" w:hAnsi="David" w:cs="David" w:hint="cs"/>
          <w:sz w:val="24"/>
          <w:szCs w:val="24"/>
          <w:rtl/>
        </w:rPr>
        <w:t>קיבוע הסכומים שנפסקו כזמניים. על כן</w:t>
      </w:r>
      <w:r w:rsidR="008F33DD">
        <w:rPr>
          <w:rFonts w:ascii="David" w:hAnsi="David" w:cs="David" w:hint="cs"/>
          <w:sz w:val="24"/>
          <w:szCs w:val="24"/>
          <w:rtl/>
        </w:rPr>
        <w:t xml:space="preserve"> בנסיבות</w:t>
      </w:r>
      <w:r w:rsidR="00C25EB3">
        <w:rPr>
          <w:rFonts w:ascii="David" w:hAnsi="David" w:cs="David" w:hint="cs"/>
          <w:sz w:val="24"/>
          <w:szCs w:val="24"/>
          <w:rtl/>
        </w:rPr>
        <w:t xml:space="preserve"> כגון אלה,</w:t>
      </w:r>
      <w:r w:rsidR="008F33DD">
        <w:rPr>
          <w:rFonts w:ascii="David" w:hAnsi="David" w:cs="David" w:hint="cs"/>
          <w:sz w:val="24"/>
          <w:szCs w:val="24"/>
          <w:rtl/>
        </w:rPr>
        <w:t xml:space="preserve"> </w:t>
      </w:r>
      <w:r w:rsidR="005A5E9B">
        <w:rPr>
          <w:rFonts w:ascii="David" w:hAnsi="David" w:cs="David" w:hint="cs"/>
          <w:sz w:val="24"/>
          <w:szCs w:val="24"/>
          <w:rtl/>
        </w:rPr>
        <w:t>ו</w:t>
      </w:r>
      <w:r w:rsidR="008F33DD">
        <w:rPr>
          <w:rFonts w:ascii="David" w:hAnsi="David" w:cs="David" w:hint="cs"/>
          <w:sz w:val="24"/>
          <w:szCs w:val="24"/>
          <w:rtl/>
        </w:rPr>
        <w:t>בהינתן חלוף הזמן,</w:t>
      </w:r>
      <w:r w:rsidR="00C25EB3">
        <w:rPr>
          <w:rFonts w:ascii="David" w:hAnsi="David" w:cs="David" w:hint="cs"/>
          <w:sz w:val="24"/>
          <w:szCs w:val="24"/>
          <w:rtl/>
        </w:rPr>
        <w:t xml:space="preserve"> מן הראוי </w:t>
      </w:r>
      <w:r w:rsidR="00A5367F">
        <w:rPr>
          <w:rFonts w:ascii="David" w:hAnsi="David" w:cs="David" w:hint="cs"/>
          <w:sz w:val="24"/>
          <w:szCs w:val="24"/>
          <w:rtl/>
        </w:rPr>
        <w:t>להידרש לגובהם של המזונות הזמניים, ממועד הגשת הבקשה המקורית, על יסוד נתונים העולים מאסמכתאות יותר מהימנות, בדיוק כפי שנתבקשו על ידי בית משפט קמא מן המשיב, בהתאם להחלט</w:t>
      </w:r>
      <w:r w:rsidR="008F33DD">
        <w:rPr>
          <w:rFonts w:ascii="David" w:hAnsi="David" w:cs="David" w:hint="cs"/>
          <w:sz w:val="24"/>
          <w:szCs w:val="24"/>
          <w:rtl/>
        </w:rPr>
        <w:t>תו</w:t>
      </w:r>
      <w:r>
        <w:rPr>
          <w:rFonts w:ascii="David" w:hAnsi="David" w:cs="David" w:hint="cs"/>
          <w:sz w:val="24"/>
          <w:szCs w:val="24"/>
          <w:rtl/>
        </w:rPr>
        <w:t xml:space="preserve"> מיום 22.11.2022, שעל פי ה</w:t>
      </w:r>
      <w:r w:rsidR="00A5367F">
        <w:rPr>
          <w:rFonts w:ascii="David" w:hAnsi="David" w:cs="David" w:hint="cs"/>
          <w:sz w:val="24"/>
          <w:szCs w:val="24"/>
          <w:rtl/>
        </w:rPr>
        <w:t>מבקשת טרם קויימה.</w:t>
      </w:r>
      <w:r w:rsidR="005A5E9B">
        <w:rPr>
          <w:rFonts w:ascii="David" w:hAnsi="David" w:cs="David" w:hint="cs"/>
          <w:sz w:val="24"/>
          <w:szCs w:val="24"/>
          <w:rtl/>
        </w:rPr>
        <w:t>, בעוד שהמשיב טוען שהם הומצאו ב-02/2022</w:t>
      </w:r>
      <w:r w:rsidR="0028003F">
        <w:rPr>
          <w:rFonts w:ascii="David" w:hAnsi="David" w:cs="David" w:hint="cs"/>
          <w:sz w:val="24"/>
          <w:szCs w:val="24"/>
          <w:rtl/>
        </w:rPr>
        <w:t>, טרם הגשת בקשה זו.</w:t>
      </w:r>
    </w:p>
    <w:p w:rsidR="00BC440E" w:rsidRPr="0028003F" w:rsidRDefault="00BC440E" w:rsidP="00BC440E">
      <w:pPr>
        <w:pStyle w:val="ad"/>
        <w:spacing w:line="360" w:lineRule="auto"/>
        <w:jc w:val="both"/>
        <w:rPr>
          <w:rFonts w:ascii="David" w:hAnsi="David" w:cs="David"/>
          <w:sz w:val="24"/>
          <w:szCs w:val="24"/>
        </w:rPr>
      </w:pPr>
    </w:p>
    <w:p w:rsidR="00C5574B" w:rsidRDefault="00C5574B" w:rsidP="00111600">
      <w:pPr>
        <w:pStyle w:val="ad"/>
        <w:numPr>
          <w:ilvl w:val="0"/>
          <w:numId w:val="1"/>
        </w:numPr>
        <w:spacing w:line="360" w:lineRule="auto"/>
        <w:jc w:val="both"/>
        <w:rPr>
          <w:rFonts w:ascii="David" w:hAnsi="David" w:cs="David"/>
          <w:sz w:val="24"/>
          <w:szCs w:val="24"/>
        </w:rPr>
      </w:pPr>
      <w:r>
        <w:rPr>
          <w:rFonts w:ascii="David" w:hAnsi="David" w:cs="David" w:hint="cs"/>
          <w:sz w:val="24"/>
          <w:szCs w:val="24"/>
          <w:rtl/>
        </w:rPr>
        <w:t xml:space="preserve">בהקשר זה אפנה לדברים שכתבתי בעבר </w:t>
      </w:r>
      <w:r w:rsidR="0098696A">
        <w:rPr>
          <w:rFonts w:ascii="David" w:hAnsi="David" w:cs="David" w:hint="cs"/>
          <w:sz w:val="24"/>
          <w:szCs w:val="24"/>
          <w:rtl/>
        </w:rPr>
        <w:t xml:space="preserve">ברמ"ש 1903-02-22 </w:t>
      </w:r>
      <w:r w:rsidR="0098696A" w:rsidRPr="00624CB9">
        <w:rPr>
          <w:rFonts w:ascii="David" w:hAnsi="David" w:cs="David" w:hint="cs"/>
          <w:b/>
          <w:bCs/>
          <w:sz w:val="24"/>
          <w:szCs w:val="24"/>
          <w:rtl/>
        </w:rPr>
        <w:t>ח' נ' ח'</w:t>
      </w:r>
      <w:r w:rsidR="0098696A">
        <w:rPr>
          <w:rFonts w:ascii="David" w:hAnsi="David" w:cs="David" w:hint="cs"/>
          <w:sz w:val="24"/>
          <w:szCs w:val="24"/>
          <w:rtl/>
        </w:rPr>
        <w:t xml:space="preserve"> (20.03.2022) בדבר אופיים של המזונות הזמנ</w:t>
      </w:r>
      <w:r w:rsidR="00624CB9">
        <w:rPr>
          <w:rFonts w:ascii="David" w:hAnsi="David" w:cs="David" w:hint="cs"/>
          <w:sz w:val="24"/>
          <w:szCs w:val="24"/>
          <w:rtl/>
        </w:rPr>
        <w:t>יים, דרך קביעתם, אבני ה</w:t>
      </w:r>
      <w:r w:rsidR="0028003F">
        <w:rPr>
          <w:rFonts w:ascii="David" w:hAnsi="David" w:cs="David" w:hint="cs"/>
          <w:sz w:val="24"/>
          <w:szCs w:val="24"/>
          <w:rtl/>
        </w:rPr>
        <w:t>בוחן המרכזיים וחובת הנמקתם:</w:t>
      </w:r>
    </w:p>
    <w:p w:rsidR="00C5574B" w:rsidRPr="00624CB9" w:rsidRDefault="00C5574B" w:rsidP="00C5574B">
      <w:pPr>
        <w:spacing w:line="360" w:lineRule="auto"/>
        <w:ind w:left="720"/>
        <w:jc w:val="both"/>
        <w:rPr>
          <w:rFonts w:ascii="David" w:hAnsi="David"/>
        </w:rPr>
      </w:pPr>
    </w:p>
    <w:p w:rsidR="00C5574B" w:rsidRPr="00ED09DD" w:rsidRDefault="00C5574B" w:rsidP="00C5574B">
      <w:pPr>
        <w:spacing w:line="360" w:lineRule="auto"/>
        <w:ind w:left="720"/>
        <w:jc w:val="both"/>
        <w:rPr>
          <w:rFonts w:ascii="David" w:hAnsi="David"/>
          <w:b/>
          <w:bCs/>
          <w:rtl/>
        </w:rPr>
      </w:pPr>
      <w:r>
        <w:rPr>
          <w:rFonts w:ascii="David" w:hAnsi="David" w:hint="cs"/>
          <w:rtl/>
        </w:rPr>
        <w:t>"</w:t>
      </w:r>
      <w:r w:rsidR="0028003F">
        <w:rPr>
          <w:rFonts w:ascii="David" w:hAnsi="David" w:hint="cs"/>
          <w:b/>
          <w:bCs/>
          <w:rtl/>
        </w:rPr>
        <w:t>...</w:t>
      </w:r>
      <w:r w:rsidRPr="00ED09DD">
        <w:rPr>
          <w:rFonts w:ascii="David" w:hAnsi="David"/>
          <w:b/>
          <w:bCs/>
          <w:rtl/>
        </w:rPr>
        <w:t>הדבר נכון ביתר-שאת עת מדובר בהכרעה בסוגית מזונות, גם אם זמניים הם, כאשר בהחלטה, לא צויין, ולו ברמז, מה עלה מאותו חומר בו עיין בית משפט קמא. יתרה מכך, לא ניתן היה להכריע בסוגית המזונות, כאשר קיים "חוסר בהירות ביחס לזמני השהות", שמהווה אחד מן הרכיבים המשמעותיים בהכרעות בסוגיות כגון דא.</w:t>
      </w:r>
    </w:p>
    <w:p w:rsidR="00C5574B" w:rsidRPr="00ED09DD" w:rsidRDefault="00C5574B" w:rsidP="00C5574B">
      <w:pPr>
        <w:spacing w:line="360" w:lineRule="auto"/>
        <w:ind w:left="720"/>
        <w:jc w:val="both"/>
        <w:rPr>
          <w:rFonts w:ascii="David" w:hAnsi="David"/>
          <w:b/>
          <w:bCs/>
          <w:rtl/>
        </w:rPr>
      </w:pPr>
    </w:p>
    <w:p w:rsidR="00C5574B" w:rsidRPr="00ED09DD" w:rsidRDefault="00C5574B" w:rsidP="00C5574B">
      <w:pPr>
        <w:spacing w:line="360" w:lineRule="auto"/>
        <w:ind w:left="720"/>
        <w:jc w:val="both"/>
        <w:rPr>
          <w:rFonts w:ascii="David" w:hAnsi="David"/>
          <w:b/>
          <w:bCs/>
          <w:rtl/>
        </w:rPr>
      </w:pPr>
      <w:r w:rsidRPr="00ED09DD">
        <w:rPr>
          <w:rFonts w:ascii="David" w:hAnsi="David"/>
          <w:b/>
          <w:bCs/>
          <w:rtl/>
        </w:rPr>
        <w:lastRenderedPageBreak/>
        <w:t>אמנם, מזונות זמניים נפסקים על יסוד ראיות לכאורה בלבד, מבלי להיכנס לעובי הקורה, כשהבירור המעמיק נעשה בשלב שמיעת הראיות. אך עדין, על בית משפט לפרט בהחלטה זו את ממצאיו על יסוד ראיות אלה, ואת הנתונים הספציפיים עליהם מבסס קביעת המזונות הזמניים, ובין היתר, הערכת היכולות הכלכליות של הצדדים, הערכת צרכי הילדים, גם כשהדבר נעשה על דרך האומדנא, זמני השהות של הילדים והשפעתם על חלוקת המזונות בין ההורים ועוד. למצער, ובמקרים מתאימים, גם סקירת טענות הצדדים ביחס לנתונים האמורים וציון אבני-הבוחן שנלקחו בחשבון בעת ההכרעה, יהא בהם כדי  ללמד שהדברים נשקלו ונבחנו וניתן להם המשקל הראוי בהליך קבלת ההכרעה.</w:t>
      </w:r>
    </w:p>
    <w:p w:rsidR="00C5574B" w:rsidRPr="00ED09DD" w:rsidRDefault="00C5574B" w:rsidP="00C5574B">
      <w:pPr>
        <w:spacing w:line="360" w:lineRule="auto"/>
        <w:ind w:left="720"/>
        <w:jc w:val="both"/>
        <w:rPr>
          <w:rFonts w:ascii="David" w:hAnsi="David"/>
          <w:b/>
          <w:bCs/>
          <w:rtl/>
        </w:rPr>
      </w:pPr>
    </w:p>
    <w:p w:rsidR="00C5574B" w:rsidRPr="00ED09DD" w:rsidRDefault="00C5574B" w:rsidP="00C5574B">
      <w:pPr>
        <w:spacing w:line="360" w:lineRule="auto"/>
        <w:ind w:firstLine="720"/>
        <w:jc w:val="both"/>
        <w:rPr>
          <w:rFonts w:ascii="David" w:hAnsi="David"/>
          <w:b/>
          <w:bCs/>
          <w:rtl/>
        </w:rPr>
      </w:pPr>
      <w:r w:rsidRPr="00ED09DD">
        <w:rPr>
          <w:rFonts w:ascii="David" w:hAnsi="David"/>
          <w:b/>
          <w:bCs/>
          <w:rtl/>
        </w:rPr>
        <w:t>אפנה לדברי, מן העת האחרונה ב-רמ"ש 57290-01-22 א. נ' ב. (17.02.2022):</w:t>
      </w:r>
    </w:p>
    <w:p w:rsidR="00C5574B" w:rsidRPr="00ED09DD" w:rsidRDefault="00C5574B" w:rsidP="00C5574B">
      <w:pPr>
        <w:spacing w:line="360" w:lineRule="auto"/>
        <w:jc w:val="both"/>
        <w:rPr>
          <w:rFonts w:ascii="David" w:hAnsi="David"/>
          <w:b/>
          <w:bCs/>
          <w:rtl/>
        </w:rPr>
      </w:pPr>
    </w:p>
    <w:p w:rsidR="00C5574B" w:rsidRPr="00ED09DD" w:rsidRDefault="00C5574B" w:rsidP="00137A47">
      <w:pPr>
        <w:spacing w:line="360" w:lineRule="auto"/>
        <w:ind w:left="1440"/>
        <w:jc w:val="both"/>
        <w:rPr>
          <w:rFonts w:ascii="David" w:hAnsi="David"/>
          <w:b/>
          <w:bCs/>
          <w:rtl/>
        </w:rPr>
      </w:pPr>
      <w:r w:rsidRPr="00ED09DD">
        <w:rPr>
          <w:rFonts w:ascii="David" w:hAnsi="David"/>
          <w:b/>
          <w:bCs/>
          <w:rtl/>
        </w:rPr>
        <w:t>"</w:t>
      </w:r>
      <w:r w:rsidRPr="00ED09DD">
        <w:rPr>
          <w:rFonts w:ascii="David" w:hAnsi="David"/>
          <w:b/>
          <w:bCs/>
          <w:u w:val="single"/>
          <w:rtl/>
        </w:rPr>
        <w:t>הגם, שיודגש, כי על הערכאות הדיוניות לציין במסגרת החלטותיהן בסוגית דמי-מזונות זמניים, את הנתונים הספציפיים עליהם הם מסתמכים בעת קביעת דמי-המזונות הזמניים</w:t>
      </w:r>
      <w:r w:rsidRPr="00ED09DD">
        <w:rPr>
          <w:rFonts w:ascii="David" w:hAnsi="David"/>
          <w:b/>
          <w:bCs/>
          <w:rtl/>
        </w:rPr>
        <w:t>, סבור אני, כי בענייננו שעה שבית משפט קמא, פירט, במסגרת ההחלטה מושא בקשת רשות הערעור, את טענות הצדדים בפרוטרוט, וציין במסגרת החלטתו את אותם אבני-בוחן שנלקחו בחשבון בעת ההכרעה תוך "גיבוש החלטתו והעברת רעיונותיו בכור ההיתוך של שיקול הדעת השיפוטי" (ר', א. ברק שיקול דעת שיפוטי 48-46 (1987)), אין טענות המבקש מצביעות על פגם היורד לשורשו של עניין, אשר מצדיק את התערבות ערכאת הערעור, בשלב זה, וזאת גם בשים-לב לגילאי הקטינים, זמני-השהות שלהם עם כל אחד מן הצדדים, וגובה דמי-המז</w:t>
      </w:r>
      <w:r w:rsidR="0028003F">
        <w:rPr>
          <w:rFonts w:ascii="David" w:hAnsi="David"/>
          <w:b/>
          <w:bCs/>
          <w:rtl/>
        </w:rPr>
        <w:t>ונות הזמניים, אשר נקבעו לעת הזו</w:t>
      </w:r>
      <w:r w:rsidR="0028003F">
        <w:rPr>
          <w:rFonts w:ascii="David" w:hAnsi="David" w:hint="cs"/>
          <w:b/>
          <w:bCs/>
          <w:rtl/>
        </w:rPr>
        <w:t>'"</w:t>
      </w:r>
      <w:r w:rsidRPr="00ED09DD">
        <w:rPr>
          <w:rFonts w:ascii="David" w:hAnsi="David"/>
          <w:b/>
          <w:bCs/>
          <w:rtl/>
        </w:rPr>
        <w:t>.</w:t>
      </w:r>
    </w:p>
    <w:p w:rsidR="00C5574B" w:rsidRPr="00111600" w:rsidRDefault="00C5574B" w:rsidP="00C5574B">
      <w:pPr>
        <w:pStyle w:val="ad"/>
        <w:spacing w:line="360" w:lineRule="auto"/>
        <w:jc w:val="both"/>
        <w:rPr>
          <w:rFonts w:ascii="David" w:hAnsi="David" w:cs="David"/>
          <w:sz w:val="24"/>
          <w:szCs w:val="24"/>
        </w:rPr>
      </w:pPr>
    </w:p>
    <w:p w:rsidR="00952BC3" w:rsidRDefault="00137A47" w:rsidP="00C25EB3">
      <w:pPr>
        <w:pStyle w:val="ad"/>
        <w:numPr>
          <w:ilvl w:val="0"/>
          <w:numId w:val="1"/>
        </w:numPr>
        <w:spacing w:line="360" w:lineRule="auto"/>
        <w:jc w:val="both"/>
        <w:rPr>
          <w:rFonts w:ascii="David" w:hAnsi="David" w:cs="David"/>
          <w:sz w:val="24"/>
          <w:szCs w:val="24"/>
        </w:rPr>
      </w:pPr>
      <w:r>
        <w:rPr>
          <w:rFonts w:ascii="David" w:hAnsi="David" w:cs="David" w:hint="cs"/>
          <w:sz w:val="24"/>
          <w:szCs w:val="24"/>
          <w:rtl/>
        </w:rPr>
        <w:t xml:space="preserve">על כך אוסיף אף זאת; פסיקת מזונות זמניים על יסוד מסד רחב של נתונים העולים מאסמכתאות רלוונטיות </w:t>
      </w:r>
      <w:r w:rsidR="00952BC3">
        <w:rPr>
          <w:rFonts w:ascii="David" w:hAnsi="David" w:cs="David" w:hint="cs"/>
          <w:sz w:val="24"/>
          <w:szCs w:val="24"/>
          <w:rtl/>
        </w:rPr>
        <w:t xml:space="preserve">והמאפשר בשלב מקדמי לדלות מידע מדוייק יותר על </w:t>
      </w:r>
      <w:r>
        <w:rPr>
          <w:rFonts w:ascii="David" w:hAnsi="David" w:cs="David" w:hint="cs"/>
          <w:sz w:val="24"/>
          <w:szCs w:val="24"/>
          <w:rtl/>
        </w:rPr>
        <w:t>יכולות הצדדים, צרכי הילדים, חלוקת הזמן ההורי ועוד</w:t>
      </w:r>
      <w:r w:rsidR="00F53C02">
        <w:rPr>
          <w:rFonts w:ascii="David" w:hAnsi="David" w:cs="David" w:hint="cs"/>
          <w:sz w:val="24"/>
          <w:szCs w:val="24"/>
          <w:rtl/>
        </w:rPr>
        <w:t xml:space="preserve">, </w:t>
      </w:r>
      <w:r w:rsidR="00587FFE">
        <w:rPr>
          <w:rFonts w:ascii="David" w:hAnsi="David" w:cs="David" w:hint="cs"/>
          <w:sz w:val="24"/>
          <w:szCs w:val="24"/>
          <w:rtl/>
        </w:rPr>
        <w:t>תשר</w:t>
      </w:r>
      <w:r w:rsidR="00952BC3">
        <w:rPr>
          <w:rFonts w:ascii="David" w:hAnsi="David" w:cs="David" w:hint="cs"/>
          <w:sz w:val="24"/>
          <w:szCs w:val="24"/>
          <w:rtl/>
        </w:rPr>
        <w:t>ת את עשית הצדק</w:t>
      </w:r>
      <w:r w:rsidR="00F53C02">
        <w:rPr>
          <w:rFonts w:ascii="David" w:hAnsi="David" w:cs="David" w:hint="cs"/>
          <w:sz w:val="24"/>
          <w:szCs w:val="24"/>
          <w:rtl/>
        </w:rPr>
        <w:t xml:space="preserve">, </w:t>
      </w:r>
      <w:r w:rsidR="000751C4">
        <w:rPr>
          <w:rFonts w:ascii="David" w:hAnsi="David" w:cs="David" w:hint="cs"/>
          <w:sz w:val="24"/>
          <w:szCs w:val="24"/>
          <w:rtl/>
        </w:rPr>
        <w:t>ות</w:t>
      </w:r>
      <w:r w:rsidR="00952BC3">
        <w:rPr>
          <w:rFonts w:ascii="David" w:hAnsi="David" w:cs="David" w:hint="cs"/>
          <w:sz w:val="24"/>
          <w:szCs w:val="24"/>
          <w:rtl/>
        </w:rPr>
        <w:t>עודד הסכמות והבנות בי</w:t>
      </w:r>
      <w:r w:rsidR="00587FFE">
        <w:rPr>
          <w:rFonts w:ascii="David" w:hAnsi="David" w:cs="David" w:hint="cs"/>
          <w:sz w:val="24"/>
          <w:szCs w:val="24"/>
          <w:rtl/>
        </w:rPr>
        <w:t>ן המתדיינים</w:t>
      </w:r>
      <w:r w:rsidR="00D71FF8">
        <w:rPr>
          <w:rFonts w:ascii="David" w:hAnsi="David" w:cs="David" w:hint="cs"/>
          <w:sz w:val="24"/>
          <w:szCs w:val="24"/>
          <w:rtl/>
        </w:rPr>
        <w:t>, ולא מן הנמנע, בנסיבות מתאימות, סיום התיק בשלב מקדמי זה, בל</w:t>
      </w:r>
      <w:r>
        <w:rPr>
          <w:rFonts w:ascii="David" w:hAnsi="David" w:cs="David" w:hint="cs"/>
          <w:sz w:val="24"/>
          <w:szCs w:val="24"/>
          <w:rtl/>
        </w:rPr>
        <w:t>א צורך בשמיעת ראיות.</w:t>
      </w:r>
    </w:p>
    <w:p w:rsidR="00952BC3" w:rsidRPr="00D71FF8" w:rsidRDefault="00952BC3" w:rsidP="00952BC3">
      <w:pPr>
        <w:pStyle w:val="ad"/>
        <w:spacing w:line="360" w:lineRule="auto"/>
        <w:jc w:val="both"/>
        <w:rPr>
          <w:rFonts w:ascii="David" w:hAnsi="David" w:cs="David"/>
          <w:sz w:val="24"/>
          <w:szCs w:val="24"/>
        </w:rPr>
      </w:pPr>
    </w:p>
    <w:p w:rsidR="00082782" w:rsidRDefault="00137A47" w:rsidP="00C25EB3">
      <w:pPr>
        <w:pStyle w:val="ad"/>
        <w:numPr>
          <w:ilvl w:val="0"/>
          <w:numId w:val="1"/>
        </w:numPr>
        <w:spacing w:line="360" w:lineRule="auto"/>
        <w:jc w:val="both"/>
        <w:rPr>
          <w:rFonts w:ascii="David" w:hAnsi="David" w:cs="David"/>
          <w:sz w:val="24"/>
          <w:szCs w:val="24"/>
        </w:rPr>
      </w:pPr>
      <w:r>
        <w:rPr>
          <w:rFonts w:ascii="David" w:hAnsi="David" w:cs="David" w:hint="cs"/>
          <w:sz w:val="24"/>
          <w:szCs w:val="24"/>
          <w:rtl/>
        </w:rPr>
        <w:t xml:space="preserve"> </w:t>
      </w:r>
      <w:r w:rsidR="00BC440E">
        <w:rPr>
          <w:rFonts w:ascii="David" w:hAnsi="David" w:cs="David" w:hint="cs"/>
          <w:sz w:val="24"/>
          <w:szCs w:val="24"/>
          <w:rtl/>
        </w:rPr>
        <w:t>הגם</w:t>
      </w:r>
      <w:r w:rsidR="00ED09DD">
        <w:rPr>
          <w:rFonts w:ascii="David" w:hAnsi="David" w:cs="David" w:hint="cs"/>
          <w:sz w:val="24"/>
          <w:szCs w:val="24"/>
          <w:rtl/>
        </w:rPr>
        <w:t xml:space="preserve"> </w:t>
      </w:r>
      <w:r w:rsidR="00BC440E">
        <w:rPr>
          <w:rFonts w:ascii="David" w:hAnsi="David" w:cs="David" w:hint="cs"/>
          <w:sz w:val="24"/>
          <w:szCs w:val="24"/>
          <w:rtl/>
        </w:rPr>
        <w:t>ש</w:t>
      </w:r>
      <w:r w:rsidR="00ED09DD">
        <w:rPr>
          <w:rFonts w:ascii="David" w:hAnsi="David" w:cs="David" w:hint="cs"/>
          <w:sz w:val="24"/>
          <w:szCs w:val="24"/>
          <w:rtl/>
        </w:rPr>
        <w:t>אין מניעה לפסוק מזונות זמניים על יסוד כתבי טענות ואסמכתאות שהציג</w:t>
      </w:r>
      <w:r w:rsidR="0028003F">
        <w:rPr>
          <w:rFonts w:ascii="David" w:hAnsi="David" w:cs="David" w:hint="cs"/>
          <w:sz w:val="24"/>
          <w:szCs w:val="24"/>
          <w:rtl/>
        </w:rPr>
        <w:t xml:space="preserve">ו הצדדים, ללא צורך בקיום דיון, </w:t>
      </w:r>
      <w:r w:rsidR="00ED09DD">
        <w:rPr>
          <w:rFonts w:ascii="David" w:hAnsi="David" w:cs="David" w:hint="cs"/>
          <w:sz w:val="24"/>
          <w:szCs w:val="24"/>
          <w:rtl/>
        </w:rPr>
        <w:t xml:space="preserve">טוב יעשה בית משפט קמא אם יועיד לכך דיון לפניו, בהתאם ליומנו, </w:t>
      </w:r>
      <w:r w:rsidR="00A65118">
        <w:rPr>
          <w:rFonts w:ascii="David" w:hAnsi="David" w:cs="David" w:hint="cs"/>
          <w:sz w:val="24"/>
          <w:szCs w:val="24"/>
          <w:rtl/>
        </w:rPr>
        <w:t>ו</w:t>
      </w:r>
      <w:r w:rsidR="008F33DD">
        <w:rPr>
          <w:rFonts w:ascii="David" w:hAnsi="David" w:cs="David" w:hint="cs"/>
          <w:sz w:val="24"/>
          <w:szCs w:val="24"/>
          <w:rtl/>
        </w:rPr>
        <w:t>בהתאם לשיקול דעתו</w:t>
      </w:r>
      <w:r w:rsidR="00ED09DD">
        <w:rPr>
          <w:rFonts w:ascii="David" w:hAnsi="David" w:cs="David" w:hint="cs"/>
          <w:sz w:val="24"/>
          <w:szCs w:val="24"/>
          <w:rtl/>
        </w:rPr>
        <w:t>, גם</w:t>
      </w:r>
      <w:r w:rsidR="00A65118">
        <w:rPr>
          <w:rFonts w:ascii="David" w:hAnsi="David" w:cs="David" w:hint="cs"/>
          <w:sz w:val="24"/>
          <w:szCs w:val="24"/>
          <w:rtl/>
        </w:rPr>
        <w:t xml:space="preserve"> ל</w:t>
      </w:r>
      <w:r w:rsidR="00ED09DD">
        <w:rPr>
          <w:rFonts w:ascii="David" w:hAnsi="David" w:cs="David" w:hint="cs"/>
          <w:sz w:val="24"/>
          <w:szCs w:val="24"/>
          <w:rtl/>
        </w:rPr>
        <w:t xml:space="preserve">שם </w:t>
      </w:r>
      <w:r w:rsidR="00A65118">
        <w:rPr>
          <w:rFonts w:ascii="David" w:hAnsi="David" w:cs="David" w:hint="cs"/>
          <w:sz w:val="24"/>
          <w:szCs w:val="24"/>
          <w:rtl/>
        </w:rPr>
        <w:t xml:space="preserve">קידום ההליכים בתיק העיקרי לקראת הכרעה, כשהמזונות הזמניים </w:t>
      </w:r>
      <w:r w:rsidR="00C25EB3">
        <w:rPr>
          <w:rFonts w:ascii="David" w:hAnsi="David" w:cs="David" w:hint="cs"/>
          <w:sz w:val="24"/>
          <w:szCs w:val="24"/>
          <w:rtl/>
        </w:rPr>
        <w:t>ייבחנו</w:t>
      </w:r>
      <w:r w:rsidR="00A65118">
        <w:rPr>
          <w:rFonts w:ascii="David" w:hAnsi="David" w:cs="David" w:hint="cs"/>
          <w:sz w:val="24"/>
          <w:szCs w:val="24"/>
          <w:rtl/>
        </w:rPr>
        <w:t>,</w:t>
      </w:r>
      <w:r w:rsidR="00C25EB3">
        <w:rPr>
          <w:rFonts w:ascii="David" w:hAnsi="David" w:cs="David" w:hint="cs"/>
          <w:sz w:val="24"/>
          <w:szCs w:val="24"/>
          <w:rtl/>
        </w:rPr>
        <w:t xml:space="preserve"> בין היתר</w:t>
      </w:r>
      <w:r w:rsidR="00A65118">
        <w:rPr>
          <w:rFonts w:ascii="David" w:hAnsi="David" w:cs="David" w:hint="cs"/>
          <w:sz w:val="24"/>
          <w:szCs w:val="24"/>
          <w:rtl/>
        </w:rPr>
        <w:t>,</w:t>
      </w:r>
      <w:r w:rsidR="00C25EB3">
        <w:rPr>
          <w:rFonts w:ascii="David" w:hAnsi="David" w:cs="David" w:hint="cs"/>
          <w:sz w:val="24"/>
          <w:szCs w:val="24"/>
          <w:rtl/>
        </w:rPr>
        <w:t xml:space="preserve"> על יסוד מסמכים שנתבקשו מן המשיב</w:t>
      </w:r>
      <w:r w:rsidR="00302C8E">
        <w:rPr>
          <w:rFonts w:ascii="David" w:hAnsi="David" w:cs="David" w:hint="cs"/>
          <w:sz w:val="24"/>
          <w:szCs w:val="24"/>
          <w:rtl/>
        </w:rPr>
        <w:t>, אשר טען בתשובתו כי הומצאו (</w:t>
      </w:r>
      <w:r w:rsidR="00427EC2">
        <w:rPr>
          <w:rFonts w:ascii="David" w:hAnsi="David" w:cs="David" w:hint="cs"/>
          <w:sz w:val="24"/>
          <w:szCs w:val="24"/>
          <w:rtl/>
        </w:rPr>
        <w:t>כ-176 עמודים</w:t>
      </w:r>
      <w:r w:rsidR="00302C8E">
        <w:rPr>
          <w:rFonts w:ascii="David" w:hAnsi="David" w:cs="David" w:hint="cs"/>
          <w:sz w:val="24"/>
          <w:szCs w:val="24"/>
          <w:rtl/>
        </w:rPr>
        <w:t xml:space="preserve">) </w:t>
      </w:r>
      <w:r w:rsidR="00ED09DD">
        <w:rPr>
          <w:rFonts w:ascii="David" w:hAnsi="David" w:cs="David" w:hint="cs"/>
          <w:sz w:val="24"/>
          <w:szCs w:val="24"/>
          <w:rtl/>
        </w:rPr>
        <w:t>עוד בתחילת 02/2023, בניגוד לנטען ע"י המבקשת</w:t>
      </w:r>
      <w:r w:rsidR="00302C8E">
        <w:rPr>
          <w:rFonts w:ascii="David" w:hAnsi="David" w:cs="David" w:hint="cs"/>
          <w:sz w:val="24"/>
          <w:szCs w:val="24"/>
          <w:rtl/>
        </w:rPr>
        <w:t xml:space="preserve"> בבקש</w:t>
      </w:r>
      <w:r w:rsidR="00ED09DD">
        <w:rPr>
          <w:rFonts w:ascii="David" w:hAnsi="David" w:cs="David" w:hint="cs"/>
          <w:sz w:val="24"/>
          <w:szCs w:val="24"/>
          <w:rtl/>
        </w:rPr>
        <w:t>ת</w:t>
      </w:r>
      <w:r w:rsidR="00302C8E">
        <w:rPr>
          <w:rFonts w:ascii="David" w:hAnsi="David" w:cs="David" w:hint="cs"/>
          <w:sz w:val="24"/>
          <w:szCs w:val="24"/>
          <w:rtl/>
        </w:rPr>
        <w:t>ה. לצד זאת יש להקפיד כי התמונה שתוצג לפני בית משפט קמא תשקף</w:t>
      </w:r>
      <w:r w:rsidR="00427EC2">
        <w:rPr>
          <w:rFonts w:ascii="David" w:hAnsi="David" w:cs="David" w:hint="cs"/>
          <w:sz w:val="24"/>
          <w:szCs w:val="24"/>
          <w:rtl/>
        </w:rPr>
        <w:t xml:space="preserve"> </w:t>
      </w:r>
      <w:r w:rsidR="00427EC2">
        <w:rPr>
          <w:rFonts w:ascii="David" w:hAnsi="David" w:cs="David" w:hint="cs"/>
          <w:sz w:val="24"/>
          <w:szCs w:val="24"/>
          <w:rtl/>
        </w:rPr>
        <w:lastRenderedPageBreak/>
        <w:t>נתוני שני הצדדים</w:t>
      </w:r>
      <w:r w:rsidR="009015A3">
        <w:rPr>
          <w:rFonts w:ascii="David" w:hAnsi="David" w:cs="David" w:hint="cs"/>
          <w:sz w:val="24"/>
          <w:szCs w:val="24"/>
          <w:rtl/>
        </w:rPr>
        <w:t xml:space="preserve">, </w:t>
      </w:r>
      <w:r w:rsidR="00A65118">
        <w:rPr>
          <w:rFonts w:ascii="David" w:hAnsi="David" w:cs="David" w:hint="cs"/>
          <w:sz w:val="24"/>
          <w:szCs w:val="24"/>
          <w:rtl/>
        </w:rPr>
        <w:t>ולא רק של המשיב</w:t>
      </w:r>
      <w:r w:rsidR="009015A3">
        <w:rPr>
          <w:rFonts w:ascii="David" w:hAnsi="David" w:cs="David" w:hint="cs"/>
          <w:sz w:val="24"/>
          <w:szCs w:val="24"/>
          <w:rtl/>
        </w:rPr>
        <w:t>.</w:t>
      </w:r>
      <w:r w:rsidR="00302C8E">
        <w:rPr>
          <w:rFonts w:ascii="David" w:hAnsi="David" w:cs="David" w:hint="cs"/>
          <w:sz w:val="24"/>
          <w:szCs w:val="24"/>
          <w:rtl/>
        </w:rPr>
        <w:t xml:space="preserve"> </w:t>
      </w:r>
      <w:r w:rsidR="00C25EB3">
        <w:rPr>
          <w:rFonts w:ascii="David" w:hAnsi="David" w:cs="David" w:hint="cs"/>
          <w:sz w:val="24"/>
          <w:szCs w:val="24"/>
          <w:rtl/>
        </w:rPr>
        <w:t>ככל שא</w:t>
      </w:r>
      <w:r w:rsidR="009015A3">
        <w:rPr>
          <w:rFonts w:ascii="David" w:hAnsi="David" w:cs="David" w:hint="cs"/>
          <w:sz w:val="24"/>
          <w:szCs w:val="24"/>
          <w:rtl/>
        </w:rPr>
        <w:t>סמכתאות א</w:t>
      </w:r>
      <w:r w:rsidR="00C25EB3">
        <w:rPr>
          <w:rFonts w:ascii="David" w:hAnsi="David" w:cs="David" w:hint="cs"/>
          <w:sz w:val="24"/>
          <w:szCs w:val="24"/>
          <w:rtl/>
        </w:rPr>
        <w:t xml:space="preserve">לה לא יוצגו, כי אז יסיק בית משפט קמא </w:t>
      </w:r>
      <w:r w:rsidR="009015A3">
        <w:rPr>
          <w:rFonts w:ascii="David" w:hAnsi="David" w:cs="David" w:hint="cs"/>
          <w:sz w:val="24"/>
          <w:szCs w:val="24"/>
          <w:rtl/>
        </w:rPr>
        <w:t>את המסקנות המתחייבות מהימנעות אותו צד</w:t>
      </w:r>
      <w:r w:rsidR="0028003F">
        <w:rPr>
          <w:rFonts w:ascii="David" w:hAnsi="David" w:cs="David" w:hint="cs"/>
          <w:sz w:val="24"/>
          <w:szCs w:val="24"/>
          <w:rtl/>
        </w:rPr>
        <w:t xml:space="preserve">, וההשלכות שתהיינה לכך על שיעור </w:t>
      </w:r>
      <w:r w:rsidR="00C25EB3">
        <w:rPr>
          <w:rFonts w:ascii="David" w:hAnsi="David" w:cs="David" w:hint="cs"/>
          <w:sz w:val="24"/>
          <w:szCs w:val="24"/>
          <w:rtl/>
        </w:rPr>
        <w:t>המזונות הזמניים שיפסוק.</w:t>
      </w:r>
      <w:r w:rsidR="00C25EB3">
        <w:rPr>
          <w:rFonts w:ascii="David" w:hAnsi="David" w:cs="David"/>
          <w:sz w:val="24"/>
          <w:szCs w:val="24"/>
          <w:rtl/>
        </w:rPr>
        <w:t xml:space="preserve"> </w:t>
      </w:r>
    </w:p>
    <w:p w:rsidR="00BC440E" w:rsidRDefault="00BC440E" w:rsidP="00BC440E">
      <w:pPr>
        <w:pStyle w:val="ad"/>
        <w:spacing w:line="360" w:lineRule="auto"/>
        <w:jc w:val="both"/>
        <w:rPr>
          <w:rFonts w:ascii="David" w:hAnsi="David" w:cs="David"/>
          <w:sz w:val="24"/>
          <w:szCs w:val="24"/>
        </w:rPr>
      </w:pPr>
    </w:p>
    <w:p w:rsidR="00C25EB3" w:rsidRDefault="00C25EB3" w:rsidP="00C25EB3">
      <w:pPr>
        <w:pStyle w:val="ad"/>
        <w:numPr>
          <w:ilvl w:val="0"/>
          <w:numId w:val="1"/>
        </w:numPr>
        <w:spacing w:line="360" w:lineRule="auto"/>
        <w:jc w:val="both"/>
        <w:rPr>
          <w:rFonts w:ascii="David" w:hAnsi="David" w:cs="David"/>
          <w:sz w:val="24"/>
          <w:szCs w:val="24"/>
        </w:rPr>
      </w:pPr>
      <w:r>
        <w:rPr>
          <w:rFonts w:ascii="David" w:hAnsi="David" w:cs="David" w:hint="cs"/>
          <w:sz w:val="24"/>
          <w:szCs w:val="24"/>
          <w:rtl/>
        </w:rPr>
        <w:t xml:space="preserve">המשיב </w:t>
      </w:r>
      <w:r w:rsidR="009015A3">
        <w:rPr>
          <w:rFonts w:ascii="David" w:hAnsi="David" w:cs="David" w:hint="cs"/>
          <w:sz w:val="24"/>
          <w:szCs w:val="24"/>
          <w:rtl/>
        </w:rPr>
        <w:t>ישא בהוצאות המבקשת בסך של 2,000</w:t>
      </w:r>
      <w:r>
        <w:rPr>
          <w:rFonts w:ascii="David" w:hAnsi="David" w:cs="David" w:hint="cs"/>
          <w:sz w:val="24"/>
          <w:szCs w:val="24"/>
          <w:rtl/>
        </w:rPr>
        <w:t xml:space="preserve"> ₪.</w:t>
      </w:r>
    </w:p>
    <w:p w:rsidR="00562FED" w:rsidRPr="00562FED" w:rsidRDefault="00562FED" w:rsidP="00562FED">
      <w:pPr>
        <w:pStyle w:val="ad"/>
        <w:rPr>
          <w:rFonts w:ascii="David" w:hAnsi="David" w:cs="David"/>
          <w:sz w:val="24"/>
          <w:szCs w:val="24"/>
          <w:rtl/>
        </w:rPr>
      </w:pPr>
    </w:p>
    <w:p w:rsidR="00562FED" w:rsidRDefault="00562FED" w:rsidP="00562FED">
      <w:pPr>
        <w:spacing w:line="360" w:lineRule="auto"/>
        <w:jc w:val="both"/>
        <w:rPr>
          <w:rFonts w:ascii="David" w:hAnsi="David"/>
          <w:rtl/>
        </w:rPr>
      </w:pPr>
      <w:r>
        <w:rPr>
          <w:rFonts w:ascii="David" w:hAnsi="David" w:hint="cs"/>
          <w:rtl/>
        </w:rPr>
        <w:t>מותר לפרסום לאחר מחיקת שמות הצדדים והשמטת פרטים מזהים.</w:t>
      </w:r>
    </w:p>
    <w:p w:rsidR="000413DB" w:rsidRDefault="000413DB" w:rsidP="00562FED">
      <w:pPr>
        <w:spacing w:line="360" w:lineRule="auto"/>
        <w:jc w:val="both"/>
        <w:rPr>
          <w:rFonts w:ascii="David" w:hAnsi="David"/>
          <w:rtl/>
        </w:rPr>
      </w:pPr>
    </w:p>
    <w:p w:rsidR="000413DB" w:rsidRPr="00562FED" w:rsidRDefault="000413DB" w:rsidP="00562FED">
      <w:pPr>
        <w:spacing w:line="360" w:lineRule="auto"/>
        <w:jc w:val="both"/>
        <w:rPr>
          <w:rFonts w:ascii="David" w:hAnsi="David"/>
          <w:rtl/>
        </w:rPr>
      </w:pPr>
      <w:r>
        <w:rPr>
          <w:rFonts w:ascii="David" w:hAnsi="David" w:hint="cs"/>
          <w:rtl/>
        </w:rPr>
        <w:t>ככל שהוופקד עירבון, זה יוחזר לידי ב"כ המבקשת, עבור המבקשת.</w:t>
      </w:r>
    </w:p>
    <w:p w:rsidR="00694556" w:rsidRPr="00C770E3" w:rsidRDefault="00694556">
      <w:pPr>
        <w:spacing w:line="360" w:lineRule="auto"/>
        <w:jc w:val="both"/>
        <w:rPr>
          <w:rFonts w:ascii="Arial" w:hAnsi="Arial"/>
          <w:noProof w:val="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כ"ג אייר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14 מאי 2023</w:t>
          </w:r>
        </w:sdtContent>
      </w:sdt>
      <w:r w:rsidR="00005C8B">
        <w:rPr>
          <w:rFonts w:ascii="Arial" w:hAnsi="Arial"/>
          <w:noProof w:val="0"/>
          <w:rtl/>
        </w:rPr>
        <w:t>, בהעדר הצדדים.</w:t>
      </w:r>
    </w:p>
    <w:p w:rsidR="00C43648" w:rsidRDefault="00562E2E"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187334596"/>
        </w:sdtPr>
        <w:sdtEndPr/>
        <w:sdtContent>
          <w:r w:rsidR="00FA349D">
            <w:drawing>
              <wp:inline distT="0" distB="0" distL="0" distR="0" wp14:editId="50D07946">
                <wp:extent cx="1447800" cy="1257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1" cstate="print">
                          <a:extLst/>
                        </a:blip>
                        <a:stretch>
                          <a:fillRect/>
                        </a:stretch>
                      </pic:blipFill>
                      <pic:spPr>
                        <a:xfrm>
                          <a:off x="0" y="0"/>
                          <a:ext cx="1447800" cy="125730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even" r:id="rId12"/>
      <w:headerReference w:type="default" r:id="rId13"/>
      <w:footerReference w:type="even" r:id="rId14"/>
      <w:footerReference w:type="default" r:id="rId15"/>
      <w:headerReference w:type="first" r:id="rId16"/>
      <w:footerReference w:type="first" r:id="rId17"/>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2E2E" w:rsidRDefault="00562E2E">
      <w:r>
        <w:separator/>
      </w:r>
    </w:p>
  </w:endnote>
  <w:endnote w:type="continuationSeparator" w:id="0">
    <w:p w:rsidR="00562E2E" w:rsidRDefault="00562E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TUR">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5B1A" w:rsidRDefault="00B85B1A">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66041C">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66041C">
      <w:rPr>
        <w:rStyle w:val="ab"/>
        <w:rtl/>
      </w:rPr>
      <w:t>7</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5B1A" w:rsidRDefault="00B85B1A">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2E2E" w:rsidRDefault="00562E2E">
      <w:r>
        <w:separator/>
      </w:r>
    </w:p>
  </w:footnote>
  <w:footnote w:type="continuationSeparator" w:id="0">
    <w:p w:rsidR="00562E2E" w:rsidRDefault="00562E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5B1A" w:rsidRDefault="00B85B1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בחיפה בשבתו כבית-משפט לערעורים אזרחיים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562E2E" w:rsidP="00624CB9">
          <w:pPr>
            <w:rPr>
              <w:b/>
              <w:bCs/>
              <w:noProof w:val="0"/>
              <w:sz w:val="26"/>
              <w:szCs w:val="26"/>
              <w:rtl/>
            </w:rPr>
          </w:pPr>
          <w:sdt>
            <w:sdtPr>
              <w:rPr>
                <w:rtl/>
              </w:rPr>
              <w:alias w:val="1170"/>
              <w:tag w:val="1170"/>
              <w:id w:val="1066377040"/>
              <w:text w:multiLine="1"/>
            </w:sdtPr>
            <w:sdtEndPr/>
            <w:sdtContent>
              <w:r w:rsidR="00B859C5">
                <w:rPr>
                  <w:b/>
                  <w:bCs/>
                  <w:noProof w:val="0"/>
                  <w:sz w:val="26"/>
                  <w:szCs w:val="26"/>
                  <w:rtl/>
                </w:rPr>
                <w:t>רמ"ש</w:t>
              </w:r>
            </w:sdtContent>
          </w:sdt>
          <w:r w:rsidR="00005C8B">
            <w:rPr>
              <w:b/>
              <w:bCs/>
              <w:noProof w:val="0"/>
              <w:sz w:val="26"/>
              <w:szCs w:val="26"/>
              <w:rtl/>
            </w:rPr>
            <w:t xml:space="preserve"> </w:t>
          </w:r>
          <w:sdt>
            <w:sdtPr>
              <w:rPr>
                <w:rtl/>
              </w:rPr>
              <w:alias w:val="1171"/>
              <w:tag w:val="1171"/>
              <w:id w:val="257034231"/>
              <w:text w:multiLine="1"/>
            </w:sdtPr>
            <w:sdtEndPr/>
            <w:sdtContent>
              <w:r w:rsidR="00B859C5">
                <w:rPr>
                  <w:b/>
                  <w:bCs/>
                  <w:noProof w:val="0"/>
                  <w:sz w:val="26"/>
                  <w:szCs w:val="26"/>
                  <w:rtl/>
                </w:rPr>
                <w:t>47364-02-23</w:t>
              </w:r>
            </w:sdtContent>
          </w:sdt>
          <w:r w:rsidR="00005C8B">
            <w:rPr>
              <w:b/>
              <w:bCs/>
              <w:noProof w:val="0"/>
              <w:sz w:val="26"/>
              <w:szCs w:val="26"/>
              <w:rtl/>
            </w:rPr>
            <w:t xml:space="preserve"> </w:t>
          </w:r>
          <w:r w:rsidR="00624CB9">
            <w:rPr>
              <w:rFonts w:hint="cs"/>
              <w:b/>
              <w:bCs/>
              <w:noProof w:val="0"/>
              <w:sz w:val="26"/>
              <w:szCs w:val="26"/>
              <w:rtl/>
            </w:rPr>
            <w:t>ב' נ' ב'</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5B1A" w:rsidRDefault="00B85B1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0F59DD"/>
    <w:multiLevelType w:val="hybridMultilevel"/>
    <w:tmpl w:val="D97E5A6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CA25B5"/>
    <w:multiLevelType w:val="hybridMultilevel"/>
    <w:tmpl w:val="D97E5A6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413DB"/>
    <w:rsid w:val="000529D2"/>
    <w:rsid w:val="000564AB"/>
    <w:rsid w:val="00064FBD"/>
    <w:rsid w:val="000751C4"/>
    <w:rsid w:val="00082782"/>
    <w:rsid w:val="00082AB2"/>
    <w:rsid w:val="00085F1C"/>
    <w:rsid w:val="000906FE"/>
    <w:rsid w:val="000969D5"/>
    <w:rsid w:val="00096AF7"/>
    <w:rsid w:val="000B344B"/>
    <w:rsid w:val="000C3B0F"/>
    <w:rsid w:val="000C3B60"/>
    <w:rsid w:val="000E0DD2"/>
    <w:rsid w:val="000E3AF1"/>
    <w:rsid w:val="000F0BC8"/>
    <w:rsid w:val="000F0DD6"/>
    <w:rsid w:val="00107E6D"/>
    <w:rsid w:val="00111600"/>
    <w:rsid w:val="0011194C"/>
    <w:rsid w:val="0011424C"/>
    <w:rsid w:val="001173C6"/>
    <w:rsid w:val="00122A9F"/>
    <w:rsid w:val="001367BC"/>
    <w:rsid w:val="00137A47"/>
    <w:rsid w:val="00144D2A"/>
    <w:rsid w:val="0014653E"/>
    <w:rsid w:val="0016120F"/>
    <w:rsid w:val="00161634"/>
    <w:rsid w:val="00180519"/>
    <w:rsid w:val="00191C82"/>
    <w:rsid w:val="001A7F0C"/>
    <w:rsid w:val="001C4003"/>
    <w:rsid w:val="001D47CB"/>
    <w:rsid w:val="001D4DBF"/>
    <w:rsid w:val="001E75CA"/>
    <w:rsid w:val="001F1AA7"/>
    <w:rsid w:val="002265FF"/>
    <w:rsid w:val="00271B56"/>
    <w:rsid w:val="00272E32"/>
    <w:rsid w:val="0028003F"/>
    <w:rsid w:val="002C344E"/>
    <w:rsid w:val="002D0F74"/>
    <w:rsid w:val="002E75E9"/>
    <w:rsid w:val="002F0B1E"/>
    <w:rsid w:val="00302C8E"/>
    <w:rsid w:val="00307A6A"/>
    <w:rsid w:val="00307C40"/>
    <w:rsid w:val="00320433"/>
    <w:rsid w:val="003230C7"/>
    <w:rsid w:val="00327E50"/>
    <w:rsid w:val="0033597A"/>
    <w:rsid w:val="00343D89"/>
    <w:rsid w:val="00362612"/>
    <w:rsid w:val="0036743F"/>
    <w:rsid w:val="003715DD"/>
    <w:rsid w:val="003823E0"/>
    <w:rsid w:val="003A4521"/>
    <w:rsid w:val="003C50DC"/>
    <w:rsid w:val="003D1C8C"/>
    <w:rsid w:val="003E38C7"/>
    <w:rsid w:val="0040096C"/>
    <w:rsid w:val="004023DF"/>
    <w:rsid w:val="00414F1F"/>
    <w:rsid w:val="00427EC2"/>
    <w:rsid w:val="0043125D"/>
    <w:rsid w:val="0043502B"/>
    <w:rsid w:val="00435C6E"/>
    <w:rsid w:val="004443AC"/>
    <w:rsid w:val="00444B02"/>
    <w:rsid w:val="00451E28"/>
    <w:rsid w:val="00453EB8"/>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7DB7"/>
    <w:rsid w:val="00557717"/>
    <w:rsid w:val="00562E2E"/>
    <w:rsid w:val="00562FED"/>
    <w:rsid w:val="00563561"/>
    <w:rsid w:val="005647FC"/>
    <w:rsid w:val="00576A86"/>
    <w:rsid w:val="00587FFE"/>
    <w:rsid w:val="005A5E9B"/>
    <w:rsid w:val="005C32B3"/>
    <w:rsid w:val="005F4F09"/>
    <w:rsid w:val="00603F73"/>
    <w:rsid w:val="0061431B"/>
    <w:rsid w:val="00622BAA"/>
    <w:rsid w:val="00624CB9"/>
    <w:rsid w:val="006306CF"/>
    <w:rsid w:val="00644E9A"/>
    <w:rsid w:val="00655C7A"/>
    <w:rsid w:val="0066041C"/>
    <w:rsid w:val="006669A2"/>
    <w:rsid w:val="00671BD5"/>
    <w:rsid w:val="006805C1"/>
    <w:rsid w:val="00686C21"/>
    <w:rsid w:val="006931C1"/>
    <w:rsid w:val="00694556"/>
    <w:rsid w:val="006C30C5"/>
    <w:rsid w:val="006D3B31"/>
    <w:rsid w:val="006D70F7"/>
    <w:rsid w:val="006E0D96"/>
    <w:rsid w:val="006E1A53"/>
    <w:rsid w:val="006F2308"/>
    <w:rsid w:val="006F56E6"/>
    <w:rsid w:val="00704EDA"/>
    <w:rsid w:val="00721122"/>
    <w:rsid w:val="00734689"/>
    <w:rsid w:val="007351F7"/>
    <w:rsid w:val="00753019"/>
    <w:rsid w:val="00754801"/>
    <w:rsid w:val="00761441"/>
    <w:rsid w:val="00795365"/>
    <w:rsid w:val="007A351D"/>
    <w:rsid w:val="007B7765"/>
    <w:rsid w:val="007B7F37"/>
    <w:rsid w:val="007C2453"/>
    <w:rsid w:val="007C57B7"/>
    <w:rsid w:val="007C5BDD"/>
    <w:rsid w:val="007D45E3"/>
    <w:rsid w:val="007D7B46"/>
    <w:rsid w:val="007E6115"/>
    <w:rsid w:val="007F4609"/>
    <w:rsid w:val="00805EFF"/>
    <w:rsid w:val="00814468"/>
    <w:rsid w:val="008176A1"/>
    <w:rsid w:val="00820005"/>
    <w:rsid w:val="00841983"/>
    <w:rsid w:val="00844318"/>
    <w:rsid w:val="00860102"/>
    <w:rsid w:val="00863F5D"/>
    <w:rsid w:val="00870890"/>
    <w:rsid w:val="00873602"/>
    <w:rsid w:val="00875D12"/>
    <w:rsid w:val="00876170"/>
    <w:rsid w:val="0088479D"/>
    <w:rsid w:val="0089158D"/>
    <w:rsid w:val="00891F42"/>
    <w:rsid w:val="00896889"/>
    <w:rsid w:val="008A6E97"/>
    <w:rsid w:val="008B219F"/>
    <w:rsid w:val="008C5714"/>
    <w:rsid w:val="008D10B2"/>
    <w:rsid w:val="008F33DD"/>
    <w:rsid w:val="009015A3"/>
    <w:rsid w:val="00903896"/>
    <w:rsid w:val="00906F3D"/>
    <w:rsid w:val="0094424E"/>
    <w:rsid w:val="00952BC3"/>
    <w:rsid w:val="00955642"/>
    <w:rsid w:val="00957F9C"/>
    <w:rsid w:val="00961BA8"/>
    <w:rsid w:val="009622DF"/>
    <w:rsid w:val="0096493F"/>
    <w:rsid w:val="00965451"/>
    <w:rsid w:val="00967DFF"/>
    <w:rsid w:val="0098696A"/>
    <w:rsid w:val="00994341"/>
    <w:rsid w:val="009A4B6F"/>
    <w:rsid w:val="009D1A48"/>
    <w:rsid w:val="009D1CBF"/>
    <w:rsid w:val="009E1CE7"/>
    <w:rsid w:val="009E461A"/>
    <w:rsid w:val="009E4EA5"/>
    <w:rsid w:val="009F164B"/>
    <w:rsid w:val="009F323C"/>
    <w:rsid w:val="00A3392B"/>
    <w:rsid w:val="00A46717"/>
    <w:rsid w:val="00A5367F"/>
    <w:rsid w:val="00A65118"/>
    <w:rsid w:val="00A85E34"/>
    <w:rsid w:val="00A9144F"/>
    <w:rsid w:val="00A94B64"/>
    <w:rsid w:val="00AA3229"/>
    <w:rsid w:val="00AA7596"/>
    <w:rsid w:val="00AB0571"/>
    <w:rsid w:val="00AB3AE3"/>
    <w:rsid w:val="00AB5E52"/>
    <w:rsid w:val="00AC3B02"/>
    <w:rsid w:val="00AC3B7B"/>
    <w:rsid w:val="00AC5209"/>
    <w:rsid w:val="00AE0E34"/>
    <w:rsid w:val="00AE422A"/>
    <w:rsid w:val="00AE729E"/>
    <w:rsid w:val="00AE7752"/>
    <w:rsid w:val="00AF7FDA"/>
    <w:rsid w:val="00B12A14"/>
    <w:rsid w:val="00B5356E"/>
    <w:rsid w:val="00B6344C"/>
    <w:rsid w:val="00B809AD"/>
    <w:rsid w:val="00B80CBD"/>
    <w:rsid w:val="00B859C5"/>
    <w:rsid w:val="00B85B1A"/>
    <w:rsid w:val="00B86096"/>
    <w:rsid w:val="00B964D9"/>
    <w:rsid w:val="00BA0A7C"/>
    <w:rsid w:val="00BA517C"/>
    <w:rsid w:val="00BB3D05"/>
    <w:rsid w:val="00BB53D3"/>
    <w:rsid w:val="00BB73BE"/>
    <w:rsid w:val="00BC2D89"/>
    <w:rsid w:val="00BC440E"/>
    <w:rsid w:val="00BD6531"/>
    <w:rsid w:val="00BE05B2"/>
    <w:rsid w:val="00BF1908"/>
    <w:rsid w:val="00C22D93"/>
    <w:rsid w:val="00C23458"/>
    <w:rsid w:val="00C23AC9"/>
    <w:rsid w:val="00C25EB3"/>
    <w:rsid w:val="00C31120"/>
    <w:rsid w:val="00C34482"/>
    <w:rsid w:val="00C43648"/>
    <w:rsid w:val="00C45F36"/>
    <w:rsid w:val="00C50A9F"/>
    <w:rsid w:val="00C5574B"/>
    <w:rsid w:val="00C642FA"/>
    <w:rsid w:val="00C770E3"/>
    <w:rsid w:val="00CC7622"/>
    <w:rsid w:val="00CD608F"/>
    <w:rsid w:val="00CF6BB7"/>
    <w:rsid w:val="00D00DDF"/>
    <w:rsid w:val="00D04AA4"/>
    <w:rsid w:val="00D2453F"/>
    <w:rsid w:val="00D27982"/>
    <w:rsid w:val="00D33B86"/>
    <w:rsid w:val="00D44968"/>
    <w:rsid w:val="00D53924"/>
    <w:rsid w:val="00D55D0C"/>
    <w:rsid w:val="00D71FF8"/>
    <w:rsid w:val="00D96D8C"/>
    <w:rsid w:val="00DA6649"/>
    <w:rsid w:val="00DC1259"/>
    <w:rsid w:val="00DC1BD2"/>
    <w:rsid w:val="00DC2571"/>
    <w:rsid w:val="00DC487C"/>
    <w:rsid w:val="00DD05A8"/>
    <w:rsid w:val="00DD4335"/>
    <w:rsid w:val="00DE1E7D"/>
    <w:rsid w:val="00DE6BF6"/>
    <w:rsid w:val="00E00709"/>
    <w:rsid w:val="00E1068A"/>
    <w:rsid w:val="00E25884"/>
    <w:rsid w:val="00E25B55"/>
    <w:rsid w:val="00E31C2B"/>
    <w:rsid w:val="00E5426A"/>
    <w:rsid w:val="00E54642"/>
    <w:rsid w:val="00E80CBE"/>
    <w:rsid w:val="00E9269D"/>
    <w:rsid w:val="00E962E3"/>
    <w:rsid w:val="00EA55C5"/>
    <w:rsid w:val="00EB6C79"/>
    <w:rsid w:val="00EC37E9"/>
    <w:rsid w:val="00EC4298"/>
    <w:rsid w:val="00ED09DD"/>
    <w:rsid w:val="00F038D8"/>
    <w:rsid w:val="00F06995"/>
    <w:rsid w:val="00F12D66"/>
    <w:rsid w:val="00F13623"/>
    <w:rsid w:val="00F340D7"/>
    <w:rsid w:val="00F44D1D"/>
    <w:rsid w:val="00F53C02"/>
    <w:rsid w:val="00F6399A"/>
    <w:rsid w:val="00F750FD"/>
    <w:rsid w:val="00F84B6D"/>
    <w:rsid w:val="00F957E8"/>
    <w:rsid w:val="00FA311A"/>
    <w:rsid w:val="00FA349D"/>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082782"/>
    <w:pPr>
      <w:spacing w:after="160" w:line="256" w:lineRule="auto"/>
      <w:ind w:left="720"/>
      <w:contextualSpacing/>
    </w:pPr>
    <w:rPr>
      <w:rFonts w:asciiTheme="minorHAnsi" w:eastAsiaTheme="minorHAnsi" w:hAnsiTheme="minorHAnsi" w:cstheme="minorBidi"/>
      <w:noProof w:val="0"/>
      <w:sz w:val="22"/>
      <w:szCs w:val="22"/>
    </w:rPr>
  </w:style>
  <w:style w:type="paragraph" w:customStyle="1" w:styleId="Ruller4">
    <w:name w:val="Ruller4"/>
    <w:basedOn w:val="a"/>
    <w:rsid w:val="00082782"/>
    <w:pPr>
      <w:tabs>
        <w:tab w:val="left" w:pos="800"/>
      </w:tabs>
      <w:overflowPunct w:val="0"/>
      <w:autoSpaceDE w:val="0"/>
      <w:autoSpaceDN w:val="0"/>
      <w:adjustRightInd w:val="0"/>
      <w:spacing w:line="360" w:lineRule="auto"/>
      <w:jc w:val="both"/>
    </w:pPr>
    <w:rPr>
      <w:rFonts w:ascii="Arial TUR" w:hAnsi="Arial TUR" w:cs="FrankRuehl"/>
      <w:noProof w:val="0"/>
      <w:spacing w:val="10"/>
      <w:sz w:val="22"/>
      <w:szCs w:val="28"/>
    </w:rPr>
  </w:style>
  <w:style w:type="character" w:styleId="Hyperlink">
    <w:name w:val="Hyperlink"/>
    <w:basedOn w:val="a0"/>
    <w:uiPriority w:val="99"/>
    <w:semiHidden/>
    <w:unhideWhenUsed/>
    <w:rsid w:val="0008278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5135424">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74647119">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nevo.co.il/case/6243303"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jp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nevo.co.il/case/5830749" TargetMode="Externa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yperlink" Target="http://www.nevo.co.il/case/6215448"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ED116F" w:rsidP="00ED116F">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817811" w:rsidP="00817811">
          <w:pPr>
            <w:pStyle w:val="D290653DA13E4E738B7E725F79D7332918"/>
          </w:pPr>
          <w:r>
            <w:rPr>
              <w:rFonts w:hint="eastAsia"/>
              <w:sz w:val="20"/>
              <w:szCs w:val="20"/>
              <w:rtl/>
            </w:rPr>
            <w:t>מספר</w:t>
          </w:r>
          <w:r>
            <w:rPr>
              <w:sz w:val="20"/>
              <w:szCs w:val="20"/>
              <w:rtl/>
            </w:rPr>
            <w:t xml:space="preserve"> תיק חיצוני</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817811" w:rsidP="00817811">
          <w:pPr>
            <w:pStyle w:val="7D8E46D2581B4CD9ACC623ACA7D52F753"/>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TUR">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2D02C4"/>
    <w:rsid w:val="002D56D0"/>
    <w:rsid w:val="00345C9D"/>
    <w:rsid w:val="00376413"/>
    <w:rsid w:val="0048651F"/>
    <w:rsid w:val="005157ED"/>
    <w:rsid w:val="005171E8"/>
    <w:rsid w:val="00556D67"/>
    <w:rsid w:val="00793995"/>
    <w:rsid w:val="007C6F98"/>
    <w:rsid w:val="007E254A"/>
    <w:rsid w:val="00817811"/>
    <w:rsid w:val="008B4366"/>
    <w:rsid w:val="008F6201"/>
    <w:rsid w:val="009133C7"/>
    <w:rsid w:val="009178E4"/>
    <w:rsid w:val="00961B27"/>
    <w:rsid w:val="009A4BEE"/>
    <w:rsid w:val="009D7975"/>
    <w:rsid w:val="00A51CA1"/>
    <w:rsid w:val="00AA7CE3"/>
    <w:rsid w:val="00AD53D7"/>
    <w:rsid w:val="00B50DB2"/>
    <w:rsid w:val="00B91FA3"/>
    <w:rsid w:val="00BE6557"/>
    <w:rsid w:val="00C96C06"/>
    <w:rsid w:val="00CE1DCB"/>
    <w:rsid w:val="00D24521"/>
    <w:rsid w:val="00E31BF6"/>
    <w:rsid w:val="00E81DB1"/>
    <w:rsid w:val="00ED116F"/>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D116F"/>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ED116F"/>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1848</Words>
  <Characters>9241</Characters>
  <Application>Microsoft Office Word</Application>
  <DocSecurity>0</DocSecurity>
  <Lines>77</Lines>
  <Paragraphs>22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11067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2023-05-21T12:23:00Z</dcterms:created>
  <dcterms:modified xsi:type="dcterms:W3CDTF">2023-05-21T12:23:00Z</dcterms:modified>
</cp:coreProperties>
</file>